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STATUS</w:t>
      </w:r>
    </w:p>
    <w:p>
      <w:r>
        <w:rPr>
          <w:i/>
          <w:sz w:val="17"/>
        </w:rPr>
        <w:t>Nidan · generated from docs/build-log/STATUS.md on 2026-09-21</w:t>
      </w:r>
    </w:p>
    <w:p>
      <w:pPr>
        <w:pStyle w:val="Heading1"/>
      </w:pPr>
      <w:r>
        <w:t>Build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2026-09-14 — </w:t>
            </w:r>
            <w:r>
              <w:rPr>
                <w:rFonts w:ascii="Consolas" w:hAnsi="Consolas"/>
                <w:b/>
                <w:sz w:val="19"/>
              </w:rPr>
              <w:t>python scripts/build_status.py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docs/spec/BUILD_PLAN.md</w:t>
            </w:r>
            <w:r>
              <w:t xml:space="preserve"> (do not edit this file by hand)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Tasks complete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16 of 34</w:t>
            </w:r>
            <w:r>
              <w:t xml:space="preserve"> (47%)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4320"/>
          </w:tcPr>
          <w:p>
            <w:r>
              <w:t>26 d done · 57 d remaining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docs/phase-1-consistency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commit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84bcac4 Merge remote-tracking branch 'origin/docs/phase-1-consistency' into docs/phase-1-consistency</w:t>
            </w:r>
          </w:p>
        </w:tc>
      </w:tr>
    </w:tbl>
    <w:p>
      <w:r>
        <w:t xml:space="preserve">Estimates are engineering effort only. They do not include the clinical content authoring that </w:t>
      </w:r>
      <w:r>
        <w:rPr>
          <w:rFonts w:ascii="Consolas" w:hAnsi="Consolas"/>
          <w:sz w:val="19"/>
        </w:rPr>
        <w:t>BUILD_PLAN</w:t>
      </w:r>
      <w:r>
        <w:t xml:space="preserve"> §11.1 rates the real critical path — see the last section.</w:t>
      </w:r>
    </w:p>
    <w:p/>
    <w:p>
      <w:pPr>
        <w:pStyle w:val="Heading2"/>
      </w:pPr>
      <w:r>
        <w:t>Phases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 left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Phase 0 — Foundation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 d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</w:tr>
      <w:tr>
        <w:tc>
          <w:tcPr>
            <w:tcW w:type="dxa" w:w="1728"/>
          </w:tcPr>
          <w:p>
            <w:r>
              <w:t>Phase 1 — Persistence and accounts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 d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</w:tr>
      <w:tr>
        <w:tc>
          <w:tcPr>
            <w:tcW w:type="dxa" w:w="1728"/>
          </w:tcPr>
          <w:p>
            <w:r>
              <w:t>Phase 2 — Admin console P0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12 d</w:t>
            </w:r>
          </w:p>
        </w:tc>
        <w:tc>
          <w:tcPr>
            <w:tcW w:type="dxa" w:w="1728"/>
          </w:tcPr>
          <w:p>
            <w:r>
              <w:t>⬜ not started</w:t>
            </w:r>
          </w:p>
        </w:tc>
      </w:tr>
      <w:tr>
        <w:tc>
          <w:tcPr>
            <w:tcW w:type="dxa" w:w="1728"/>
          </w:tcPr>
          <w:p>
            <w:r>
              <w:t>Phase 3 — API and web app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28 d</w:t>
            </w:r>
          </w:p>
        </w:tc>
        <w:tc>
          <w:tcPr>
            <w:tcW w:type="dxa" w:w="1728"/>
          </w:tcPr>
          <w:p>
            <w:r>
              <w:t>⬜ not started</w:t>
            </w:r>
          </w:p>
        </w:tc>
      </w:tr>
      <w:tr>
        <w:tc>
          <w:tcPr>
            <w:tcW w:type="dxa" w:w="1728"/>
          </w:tcPr>
          <w:p>
            <w:r>
              <w:t>Phase 4 — Commercial readiness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17 d</w:t>
            </w:r>
          </w:p>
        </w:tc>
        <w:tc>
          <w:tcPr>
            <w:tcW w:type="dxa" w:w="1728"/>
          </w:tcPr>
          <w:p>
            <w:r>
              <w:t>⬜ not started</w:t>
            </w:r>
          </w:p>
        </w:tc>
      </w:tr>
    </w:tbl>
    <w:p/>
    <w:p>
      <w:pPr>
        <w:pStyle w:val="Heading2"/>
      </w:pPr>
      <w:r>
        <w:t>Phase 0 — Foundation</w:t>
      </w:r>
    </w:p>
    <w:p>
      <w:r>
        <w:rPr>
          <w:i/>
        </w:rPr>
        <w:t>7 of 7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Build log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T-001</w:t>
            </w:r>
            <w:r>
              <w:t xml:space="preserve"> · Restructure into a nidan/ package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[T-001](T-001-package-restructure.md)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T-002</w:t>
            </w:r>
            <w:r>
              <w:t xml:space="preserve"> · Test harness and fake LLM gateway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T-001</w:t>
            </w:r>
          </w:p>
        </w:tc>
        <w:tc>
          <w:tcPr>
            <w:tcW w:type="dxa" w:w="1440"/>
          </w:tcPr>
          <w:p>
            <w:r>
              <w:t>[T-002](T-002-test-harness.md)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T-003</w:t>
            </w:r>
            <w:r>
              <w:t xml:space="preserve"> · Lexicon disjointness test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0.5 d</w:t>
            </w:r>
          </w:p>
        </w:tc>
        <w:tc>
          <w:tcPr>
            <w:tcW w:type="dxa" w:w="1440"/>
          </w:tcPr>
          <w:p>
            <w:r>
              <w:t>T-002</w:t>
            </w:r>
          </w:p>
        </w:tc>
        <w:tc>
          <w:tcPr>
            <w:tcW w:type="dxa" w:w="1440"/>
          </w:tcPr>
          <w:p>
            <w:r>
              <w:t>[T-003](T-003-case-invariants.md)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T-004</w:t>
            </w:r>
            <w:r>
              <w:t xml:space="preserve"> · CI pipeline with the validation gate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 d</w:t>
            </w:r>
          </w:p>
        </w:tc>
        <w:tc>
          <w:tcPr>
            <w:tcW w:type="dxa" w:w="1440"/>
          </w:tcPr>
          <w:p>
            <w:r>
              <w:t>T-002</w:t>
            </w:r>
          </w:p>
        </w:tc>
        <w:tc>
          <w:tcPr>
            <w:tcW w:type="dxa" w:w="1440"/>
          </w:tcPr>
          <w:p>
            <w:r>
              <w:t>[T-004](T-004-ci-validation-gate.md)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T-005</w:t>
            </w:r>
            <w:r>
              <w:t xml:space="preserve"> · Docker + docker-compose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 d</w:t>
            </w:r>
          </w:p>
        </w:tc>
        <w:tc>
          <w:tcPr>
            <w:tcW w:type="dxa" w:w="1440"/>
          </w:tcPr>
          <w:p>
            <w:r>
              <w:t>T-001</w:t>
            </w:r>
          </w:p>
        </w:tc>
        <w:tc>
          <w:tcPr>
            <w:tcW w:type="dxa" w:w="1440"/>
          </w:tcPr>
          <w:p>
            <w:r>
              <w:t>[T-005](T-005-docker-compose.md)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T-006</w:t>
            </w:r>
            <w:r>
              <w:t xml:space="preserve"> · Typed configuration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 d</w:t>
            </w:r>
          </w:p>
        </w:tc>
        <w:tc>
          <w:tcPr>
            <w:tcW w:type="dxa" w:w="1440"/>
          </w:tcPr>
          <w:p>
            <w:r>
              <w:t>T-001</w:t>
            </w:r>
          </w:p>
        </w:tc>
        <w:tc>
          <w:tcPr>
            <w:tcW w:type="dxa" w:w="1440"/>
          </w:tcPr>
          <w:p>
            <w:r>
              <w:t>[T-006](T-006-typed-configuration.md)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T-007</w:t>
            </w:r>
            <w:r>
              <w:t xml:space="preserve"> · Structured logging and Sentry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0.5 d</w:t>
            </w:r>
          </w:p>
        </w:tc>
        <w:tc>
          <w:tcPr>
            <w:tcW w:type="dxa" w:w="1440"/>
          </w:tcPr>
          <w:p>
            <w:r>
              <w:t>T-006</w:t>
            </w:r>
          </w:p>
        </w:tc>
        <w:tc>
          <w:tcPr>
            <w:tcW w:type="dxa" w:w="1440"/>
          </w:tcPr>
          <w:p>
            <w:r>
              <w:t>[T-007](T-007-telemetry.md)</w:t>
            </w:r>
          </w:p>
        </w:tc>
      </w:tr>
    </w:tbl>
    <w:p>
      <w:pPr>
        <w:pStyle w:val="Heading2"/>
      </w:pPr>
      <w:r>
        <w:t>Phase 1 — Persistence and accounts</w:t>
      </w:r>
    </w:p>
    <w:p>
      <w:r>
        <w:rPr>
          <w:i/>
        </w:rPr>
        <w:t>9 of 9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Build log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T-010</w:t>
            </w:r>
            <w:r>
              <w:t xml:space="preserve"> · Schema and migrations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T-005</w:t>
            </w:r>
          </w:p>
        </w:tc>
        <w:tc>
          <w:tcPr>
            <w:tcW w:type="dxa" w:w="1440"/>
          </w:tcPr>
          <w:p>
            <w:r>
              <w:t>[T-010](T-010-schema-and-migrations.md)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T-011</w:t>
            </w:r>
            <w:r>
              <w:t xml:space="preserve"> · Seed content and openapi.yaml skeleton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T-010</w:t>
            </w:r>
          </w:p>
        </w:tc>
        <w:tc>
          <w:tcPr>
            <w:tcW w:type="dxa" w:w="1440"/>
          </w:tcPr>
          <w:p>
            <w:r>
              <w:t>[T-011](T-011-seed-content-and-openapi.md)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T-012</w:t>
            </w:r>
            <w:r>
              <w:t xml:space="preserve"> · Repository layer and tenant scoping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T-010</w:t>
            </w:r>
          </w:p>
        </w:tc>
        <w:tc>
          <w:tcPr>
            <w:tcW w:type="dxa" w:w="1440"/>
          </w:tcPr>
          <w:p>
            <w:r>
              <w:t>[T-012](T-012-repository-layer-and-tenant-scoping.md)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T-013</w:t>
            </w:r>
            <w:r>
              <w:t xml:space="preserve"> · Event-sourced session state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T-012</w:t>
            </w:r>
          </w:p>
        </w:tc>
        <w:tc>
          <w:tcPr>
            <w:tcW w:type="dxa" w:w="1440"/>
          </w:tcPr>
          <w:p>
            <w:r>
              <w:t>[T-013](T-013-event-sourced-session-state.md)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T-014</w:t>
            </w:r>
            <w:r>
              <w:t xml:space="preserve"> · Supabase Auth integration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T-012</w:t>
            </w:r>
          </w:p>
        </w:tc>
        <w:tc>
          <w:tcPr>
            <w:tcW w:type="dxa" w:w="1440"/>
          </w:tcPr>
          <w:p>
            <w:r>
              <w:t>[T-014](T-014-supabase-auth-integration.md)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T-015</w:t>
            </w:r>
            <w:r>
              <w:t xml:space="preserve"> · Anonymous trial sessions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1.5 d</w:t>
            </w:r>
          </w:p>
        </w:tc>
        <w:tc>
          <w:tcPr>
            <w:tcW w:type="dxa" w:w="1440"/>
          </w:tcPr>
          <w:p>
            <w:r>
              <w:t>T-013,T-014</w:t>
            </w:r>
          </w:p>
        </w:tc>
        <w:tc>
          <w:tcPr>
            <w:tcW w:type="dxa" w:w="1440"/>
          </w:tcPr>
          <w:p>
            <w:r>
              <w:t>[T-015](T-015-anonymous-trial-sessions.md)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T-016</w:t>
            </w:r>
            <w:r>
              <w:t xml:space="preserve"> · Assessment from events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T-013</w:t>
            </w:r>
          </w:p>
        </w:tc>
        <w:tc>
          <w:tcPr>
            <w:tcW w:type="dxa" w:w="1440"/>
          </w:tcPr>
          <w:p>
            <w:r>
              <w:t>[T-016](T-016-assessment-from-events.md)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T-017</w:t>
            </w:r>
            <w:r>
              <w:t xml:space="preserve"> · Free-tier allowance and case selection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1.5 d</w:t>
            </w:r>
          </w:p>
        </w:tc>
        <w:tc>
          <w:tcPr>
            <w:tcW w:type="dxa" w:w="1440"/>
          </w:tcPr>
          <w:p>
            <w:r>
              <w:t>T-014</w:t>
            </w:r>
          </w:p>
        </w:tc>
        <w:tc>
          <w:tcPr>
            <w:tcW w:type="dxa" w:w="1440"/>
          </w:tcPr>
          <w:p>
            <w:r>
              <w:t>[T-017](T-017-free-tier-allowance-and-case-selection.md)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T-018</w:t>
            </w:r>
            <w:r>
              <w:t xml:space="preserve"> · Pilot data backfill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 d</w:t>
            </w:r>
          </w:p>
        </w:tc>
        <w:tc>
          <w:tcPr>
            <w:tcW w:type="dxa" w:w="1440"/>
          </w:tcPr>
          <w:p>
            <w:r>
              <w:t>T-016</w:t>
            </w:r>
          </w:p>
        </w:tc>
        <w:tc>
          <w:tcPr>
            <w:tcW w:type="dxa" w:w="1440"/>
          </w:tcPr>
          <w:p>
            <w:r>
              <w:t>[T-018](T-018-pilot-data-backfill.md)</w:t>
            </w:r>
          </w:p>
        </w:tc>
      </w:tr>
    </w:tbl>
    <w:p>
      <w:pPr>
        <w:pStyle w:val="Heading2"/>
      </w:pPr>
      <w:r>
        <w:t>Phase 2 — Admin console P0</w:t>
      </w:r>
    </w:p>
    <w:p>
      <w:r>
        <w:rPr>
          <w:i/>
        </w:rPr>
        <w:t>0 of 4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Build log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T-020</w:t>
            </w:r>
            <w:r>
              <w:t xml:space="preserve"> · Admin shell and auth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1 d</w:t>
            </w:r>
          </w:p>
        </w:tc>
        <w:tc>
          <w:tcPr>
            <w:tcW w:type="dxa" w:w="1440"/>
          </w:tcPr>
          <w:p>
            <w:r>
              <w:t>T-014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T-021</w:t>
            </w:r>
            <w:r>
              <w:t xml:space="preserve"> · Case editor ⭐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5 d</w:t>
            </w:r>
          </w:p>
        </w:tc>
        <w:tc>
          <w:tcPr>
            <w:tcW w:type="dxa" w:w="1440"/>
          </w:tcPr>
          <w:p>
            <w:r>
              <w:t>T-020,T-011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T-022</w:t>
            </w:r>
            <w:r>
              <w:t xml:space="preserve"> · Playtest with live instrumentation ⭐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4 d</w:t>
            </w:r>
          </w:p>
        </w:tc>
        <w:tc>
          <w:tcPr>
            <w:tcW w:type="dxa" w:w="1440"/>
          </w:tcPr>
          <w:p>
            <w:r>
              <w:t>T-021,T-016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T-023</w:t>
            </w:r>
            <w:r>
              <w:t xml:space="preserve"> · Clinical review workflow ⭐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T-022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Phase 3 — API and web app</w:t>
      </w:r>
    </w:p>
    <w:p>
      <w:r>
        <w:rPr>
          <w:i/>
        </w:rPr>
        <w:t>0 of 8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Build log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T-030</w:t>
            </w:r>
            <w:r>
              <w:t xml:space="preserve"> · JSON API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6 d</w:t>
            </w:r>
          </w:p>
        </w:tc>
        <w:tc>
          <w:tcPr>
            <w:tcW w:type="dxa" w:w="1440"/>
          </w:tcPr>
          <w:p>
            <w:r>
              <w:t>T-016,T-017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T-031</w:t>
            </w:r>
            <w:r>
              <w:t xml:space="preserve"> · LLM gateway hardening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T-006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T-032</w:t>
            </w:r>
            <w:r>
              <w:t xml:space="preserve"> · Next.js scaffold and auth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4 d</w:t>
            </w:r>
          </w:p>
        </w:tc>
        <w:tc>
          <w:tcPr>
            <w:tcW w:type="dxa" w:w="1440"/>
          </w:tcPr>
          <w:p>
            <w:r>
              <w:t>T-011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T-033</w:t>
            </w:r>
            <w:r>
              <w:t xml:space="preserve"> · Dashboard and onboarding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T-032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T-034</w:t>
            </w:r>
            <w:r>
              <w:t xml:space="preserve"> · Consultation screen ⭐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6 d</w:t>
            </w:r>
          </w:p>
        </w:tc>
        <w:tc>
          <w:tcPr>
            <w:tcW w:type="dxa" w:w="1440"/>
          </w:tcPr>
          <w:p>
            <w:r>
              <w:t>T-030,T-032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T-035</w:t>
            </w:r>
            <w:r>
              <w:t xml:space="preserve"> · Real-patient-data guard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1 d</w:t>
            </w:r>
          </w:p>
        </w:tc>
        <w:tc>
          <w:tcPr>
            <w:tcW w:type="dxa" w:w="1440"/>
          </w:tcPr>
          <w:p>
            <w:r>
              <w:t>T-034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T-036</w:t>
            </w:r>
            <w:r>
              <w:t xml:space="preserve"> · Feedback screen ⭐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T-030,T-032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T-037</w:t>
            </w:r>
            <w:r>
              <w:t xml:space="preserve"> · History and progress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T-036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Phase 4 — Commercial readiness</w:t>
      </w:r>
    </w:p>
    <w:p>
      <w:r>
        <w:rPr>
          <w:i/>
        </w:rPr>
        <w:t>0 of 6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Depends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Build log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T-040</w:t>
            </w:r>
            <w:r>
              <w:t xml:space="preserve"> · Leakage monitor ⭐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T-030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T-041</w:t>
            </w:r>
            <w:r>
              <w:t xml:space="preserve"> · Stripe subscriptions</w:t>
            </w:r>
          </w:p>
        </w:tc>
        <w:tc>
          <w:tcPr>
            <w:tcW w:type="dxa" w:w="1440"/>
          </w:tcPr>
          <w:p>
            <w:r>
              <w:t>Vraj</w:t>
            </w:r>
          </w:p>
        </w:tc>
        <w:tc>
          <w:tcPr>
            <w:tcW w:type="dxa" w:w="1440"/>
          </w:tcPr>
          <w:p>
            <w:r>
              <w:t>4 d</w:t>
            </w:r>
          </w:p>
        </w:tc>
        <w:tc>
          <w:tcPr>
            <w:tcW w:type="dxa" w:w="1440"/>
          </w:tcPr>
          <w:p>
            <w:r>
              <w:t>T-030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T-042</w:t>
            </w:r>
            <w:r>
              <w:t xml:space="preserve"> · Pricing and account screens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T-041,T-032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T-043</w:t>
            </w:r>
            <w:r>
              <w:t xml:space="preserve"> · AI usage and cost dashboard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T-031,T-020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T-044</w:t>
            </w:r>
            <w:r>
              <w:t xml:space="preserve"> · Master list and lexicon editors</w:t>
            </w:r>
          </w:p>
        </w:tc>
        <w:tc>
          <w:tcPr>
            <w:tcW w:type="dxa" w:w="1440"/>
          </w:tcPr>
          <w:p>
            <w:r>
              <w:t>Yogesh</w:t>
            </w:r>
          </w:p>
        </w:tc>
        <w:tc>
          <w:tcPr>
            <w:tcW w:type="dxa" w:w="1440"/>
          </w:tcPr>
          <w:p>
            <w:r>
              <w:t>3 d</w:t>
            </w:r>
          </w:p>
        </w:tc>
        <w:tc>
          <w:tcPr>
            <w:tcW w:type="dxa" w:w="1440"/>
          </w:tcPr>
          <w:p>
            <w:r>
              <w:t>T-020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T-045</w:t>
            </w:r>
            <w:r>
              <w:t xml:space="preserve"> · Launch readiness</w:t>
            </w:r>
          </w:p>
        </w:tc>
        <w:tc>
          <w:tcPr>
            <w:tcW w:type="dxa" w:w="1440"/>
          </w:tcPr>
          <w:p>
            <w:r>
              <w:t>Both</w:t>
            </w:r>
          </w:p>
        </w:tc>
        <w:tc>
          <w:tcPr>
            <w:tcW w:type="dxa" w:w="1440"/>
          </w:tcPr>
          <w:p>
            <w:r>
              <w:t>2 d</w:t>
            </w:r>
          </w:p>
        </w:tc>
        <w:tc>
          <w:tcPr>
            <w:tcW w:type="dxa" w:w="1440"/>
          </w:tcPr>
          <w:p>
            <w:r>
              <w:t>all above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 xml:space="preserve">⭐ marks a task the plan flags as load-bearing — it protects a property in </w:t>
      </w:r>
      <w:r>
        <w:rPr>
          <w:rFonts w:ascii="Consolas" w:hAnsi="Consolas"/>
          <w:sz w:val="19"/>
        </w:rPr>
        <w:t>CLAUDE.md</w:t>
      </w:r>
      <w:r>
        <w:t>, unblocks another track, or closes a known risk.</w:t>
      </w:r>
    </w:p>
    <w:p>
      <w:r>
        <w:t>A task shows ✅ only when its BUILD_PLAN entry carries a DONE marker. Every completed task has a build log recording what was actually built, where it diverged from the specification, and what debt it left.</w:t>
      </w:r>
    </w:p>
    <w:p>
      <w:r>
        <w:rPr>
          <w:b/>
        </w:rPr>
        <w:t>Phases 5–7 are not listed.</w:t>
      </w:r>
      <w:r>
        <w:t xml:space="preserve"> </w:t>
      </w:r>
      <w:r>
        <w:rPr>
          <w:rFonts w:ascii="Consolas" w:hAnsi="Consolas"/>
          <w:sz w:val="19"/>
        </w:rPr>
        <w:t>BUILD_PLAN</w:t>
      </w:r>
      <w:r>
        <w:t xml:space="preserve"> §9 summarises them as prose rather than itemised tasks — measurement upgrade (11 d), mobile (20 d) and Case Factory (22 d) — and they are expanded when the phase begins. The counts above therefore cover the work through launch, which is what there is to track today.</w:t>
      </w:r>
    </w:p>
    <w:p/>
    <w:p>
      <w:pPr>
        <w:pStyle w:val="Heading2"/>
      </w:pPr>
      <w:r>
        <w:t>The thing this table cannot show</w:t>
      </w:r>
    </w:p>
    <w:p>
      <w:r>
        <w:t xml:space="preserve">Every number above is engineering effort. </w:t>
      </w:r>
      <w:r>
        <w:rPr>
          <w:b/>
        </w:rPr>
        <w:t>Ten clinically reviewed cases gate launch and five exist.</w:t>
      </w:r>
      <w:r>
        <w:t xml:space="preserve"> No task in this plan produces one: writing a case is clinical authoring, not development, and it needs no developer time.</w:t>
      </w:r>
    </w:p>
    <w:p>
      <w:r>
        <w:t xml:space="preserve">The two clinician reviewers cannot start until </w:t>
      </w:r>
      <w:r>
        <w:rPr>
          <w:b/>
        </w:rPr>
        <w:t>T-021</w:t>
      </w:r>
      <w:r>
        <w:t xml:space="preserve"> (case editor) and </w:t>
      </w:r>
      <w:r>
        <w:rPr>
          <w:b/>
        </w:rPr>
        <w:t>T-023</w:t>
      </w:r>
      <w:r>
        <w:t xml:space="preserve"> (review workflow) exist, because until then only a programmer can read a case. That is 12 days of Phase 2 work away, and authoring the drafts can begin before it.</w:t>
      </w:r>
    </w:p>
    <w:p>
      <w:r>
        <w:rPr>
          <w:rFonts w:ascii="Consolas" w:hAnsi="Consolas"/>
          <w:sz w:val="19"/>
        </w:rPr>
        <w:t>BUILD_PLAN</w:t>
      </w:r>
      <w:r>
        <w:t xml:space="preserve"> §11.1 rates this </w:t>
      </w:r>
      <w:r>
        <w:rPr>
          <w:b/>
        </w:rPr>
        <w:t>the</w:t>
      </w:r>
      <w:r>
        <w:t xml:space="preserve"> risk to the schedule, and it is the one a task tracker makes easy to forget — because it has no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