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T-018-pilot-data-backfill</w:t>
      </w:r>
    </w:p>
    <w:p>
      <w:r>
        <w:rPr>
          <w:i/>
          <w:sz w:val="17"/>
        </w:rPr>
        <w:t>Nidan · generated from docs/build-log/T-018-pilot-data-backfill.md on 2026-09-21</w:t>
      </w:r>
    </w:p>
    <w:p>
      <w:pPr>
        <w:pStyle w:val="Heading1"/>
      </w:pPr>
      <w:r>
        <w:t>T-018 · Pilot data backfill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T-018, BUILD_PLAN Phase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Complete — 13 September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feat/pilot-backfill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4320"/>
          </w:tcPr>
          <w:p>
            <w:r>
              <w:t>1 day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§9.3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Behaviour change</w:t>
            </w:r>
          </w:p>
        </w:tc>
        <w:tc>
          <w:tcPr>
            <w:tcW w:type="dxa" w:w="4320"/>
          </w:tcPr>
          <w:p>
            <w:r>
              <w:t>None to the app. A run-once script imports the pilot</w:t>
            </w:r>
          </w:p>
        </w:tc>
      </w:tr>
    </w:tbl>
    <w:p/>
    <w:p>
      <w:pPr>
        <w:pStyle w:val="Heading2"/>
      </w:pPr>
      <w:r>
        <w:t>1 · Summary</w:t>
      </w:r>
    </w:p>
    <w:p>
      <w:r>
        <w:t>The pilot lived in 16 JSON files beside the code. It now lives in the schema.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sessions/*.json  →  8 profiles      (email NULL, research_pid = P01…P08)</w:t>
        <w:br/>
        <w:t xml:space="preserve">                 →  16 sessions     (completed, sequence from the pilot)</w:t>
        <w:br/>
        <w:t xml:space="preserve">                 →  417 events      (synthesised, marked "backfilled")</w:t>
        <w:br/>
        <w:t xml:space="preserve">                 →  16 results      (verbatim, under engine pilot-2026-07)</w:t>
        <w:br/>
        <w:t xml:space="preserve">                 →  16 feedback rows · 16 case-history rows</w:t>
      </w:r>
    </w:p>
    <w:p>
      <w:r>
        <w:rPr>
          <w:b/>
        </w:rPr>
        <w:t>15 new tests.</w:t>
      </w:r>
      <w:r>
        <w:t xml:space="preserve"> 555 pass. Also a labelling pass across </w:t>
      </w:r>
      <w:r>
        <w:rPr>
          <w:rFonts w:ascii="Consolas" w:hAnsi="Consolas"/>
          <w:sz w:val="19"/>
        </w:rPr>
        <w:t>README.md</w:t>
      </w:r>
      <w:r>
        <w:t xml:space="preserve"> and</w:t>
      </w:r>
    </w:p>
    <w:p>
      <w:r>
        <w:rPr>
          <w:rFonts w:ascii="Consolas" w:hAnsi="Consolas"/>
          <w:sz w:val="19"/>
        </w:rPr>
        <w:t>PROJECT_MAP.md</w:t>
      </w:r>
      <w:r>
        <w:t>, requested alongside this task.</w:t>
      </w:r>
    </w:p>
    <w:p/>
    <w:p>
      <w:pPr>
        <w:pStyle w:val="Heading2"/>
      </w:pPr>
      <w:r>
        <w:t>2 · Definition of done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 by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 xml:space="preserve">16 sessions imported with 8 profiles keyed on </w:t>
            </w:r>
            <w:r>
              <w:rPr>
                <w:rFonts w:ascii="Consolas" w:hAnsi="Consolas"/>
                <w:sz w:val="19"/>
              </w:rPr>
              <w:t>research_pid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test_sixteen_sessions_and_eight_participants_are_imported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 xml:space="preserve">Synthesised events carry </w:t>
            </w:r>
            <w:r>
              <w:rPr>
                <w:rFonts w:ascii="Consolas" w:hAnsi="Consolas"/>
                <w:sz w:val="19"/>
              </w:rPr>
              <w:t>provenance: "backfilled"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test_every_synthesised_event_is_marked_backfilled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Results match the original JSON exactly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test_every_result_matches_the_original_json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Idempotent — re-running creates no duplicates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test_running_it_twice_changes_nothing</w:t>
            </w:r>
          </w:p>
        </w:tc>
      </w:tr>
    </w:tbl>
    <w:p/>
    <w:p>
      <w:pPr>
        <w:pStyle w:val="Heading2"/>
      </w:pPr>
      <w:r>
        <w:t>3 · What was built</w:t>
      </w:r>
    </w:p>
    <w:p>
      <w:pPr>
        <w:pStyle w:val="Heading3"/>
      </w:pPr>
      <w:r>
        <w:t>3.1 The point of the whole exercise</w:t>
      </w:r>
    </w:p>
    <w:p>
      <w:r>
        <w:t>Today's engine does not reproduce one of the sixteen. T-016 found it and traced</w:t>
      </w:r>
    </w:p>
    <w:p>
      <w:r>
        <w:t>it: P07's case 2 is the pulmonary embolism case, the learner asked about a</w:t>
      </w:r>
    </w:p>
    <w:p>
      <w:r>
        <w:rPr>
          <w:i/>
        </w:rPr>
        <w:t>"travel bug on the flight"</w:t>
      </w:r>
      <w:r>
        <w:t>, and the pilot-era anchor keyword list contained</w:t>
      </w:r>
    </w:p>
    <w:p>
      <w:r>
        <w:rPr>
          <w:rFonts w:ascii="Consolas" w:hAnsi="Consolas"/>
          <w:sz w:val="19"/>
        </w:rPr>
        <w:t>"travel bug"</w:t>
      </w:r>
      <w:r>
        <w:t xml:space="preserve"> — so the question that pointed </w:t>
      </w:r>
      <w:r>
        <w:rPr>
          <w:b/>
        </w:rPr>
        <w:t>at</w:t>
      </w:r>
      <w:r>
        <w:t xml:space="preserve"> the correct diagnosis was</w:t>
      </w:r>
    </w:p>
    <w:p>
      <w:r>
        <w:t>counted as evidence of anchoring. The keyword was removed under invariant C-4.</w:t>
      </w:r>
    </w:p>
    <w:p>
      <w:r>
        <w:t xml:space="preserve">After this import, </w:t>
      </w:r>
      <w:r>
        <w:rPr>
          <w:b/>
        </w:rPr>
        <w:t>both numbers are in the database and both are correct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P07  pilot-2026-07   anchoring = 0.710  detected = true</w:t>
        <w:br/>
        <w:t xml:space="preserve">     (engine 1.0.0)  anchoring = 0.000  detected = false</w:t>
      </w:r>
    </w:p>
    <w:p>
      <w:r>
        <w:t xml:space="preserve">Each is attached to the engine version that produced it. </w:t>
      </w:r>
      <w:r>
        <w:rPr>
          <w:rFonts w:ascii="Consolas" w:hAnsi="Consolas"/>
          <w:sz w:val="19"/>
        </w:rPr>
        <w:t>DATA_MODEL</w:t>
      </w:r>
      <w:r>
        <w:t xml:space="preserve"> §6.4 said</w:t>
      </w:r>
    </w:p>
    <w:p>
      <w:r>
        <w:rPr>
          <w:rFonts w:ascii="Consolas" w:hAnsi="Consolas"/>
          <w:sz w:val="19"/>
        </w:rPr>
        <w:t>engine_versions</w:t>
      </w:r>
      <w:r>
        <w:t xml:space="preserve"> would make exactly this *"a query rather than a forensic</w:t>
      </w:r>
    </w:p>
    <w:p>
      <w:r>
        <w:t>exercise"*; this is the task where that stops being a claim about a table and</w:t>
      </w:r>
    </w:p>
    <w:p>
      <w:r>
        <w:t>becomes a row you can select.</w:t>
      </w:r>
    </w:p>
    <w:p>
      <w:r>
        <w:rPr>
          <w:b/>
        </w:rPr>
        <w:t>Results are inserted verbatim, never recomputed.</w:t>
      </w:r>
      <w:r>
        <w:t xml:space="preserve"> Recomputing would overwrite</w:t>
      </w:r>
    </w:p>
    <w:p>
      <w:r>
        <w:t>the published record with today's numbers and destroy the evidence — including</w:t>
      </w:r>
    </w:p>
    <w:p>
      <w:r>
        <w:t>the one case in the pilot where a learner was marked down for asking the best</w:t>
      </w:r>
    </w:p>
    <w:p>
      <w:r>
        <w:t xml:space="preserve">question available to them. The </w:t>
      </w:r>
      <w:r>
        <w:rPr>
          <w:rFonts w:ascii="Consolas" w:hAnsi="Consolas"/>
          <w:sz w:val="19"/>
        </w:rPr>
        <w:t>pilot-2026-07</w:t>
      </w:r>
      <w:r>
        <w:t xml:space="preserve"> row carries a </w:t>
      </w:r>
      <w:r>
        <w:rPr>
          <w:rFonts w:ascii="Consolas" w:hAnsi="Consolas"/>
          <w:sz w:val="19"/>
        </w:rPr>
        <w:t>notes</w:t>
      </w:r>
      <w:r>
        <w:t xml:space="preserve"> field</w:t>
      </w:r>
    </w:p>
    <w:p>
      <w:r>
        <w:t>explaining precisely why it differs, so the reason travels with the data rather</w:t>
      </w:r>
    </w:p>
    <w:p>
      <w:r>
        <w:t>than living in a build log.</w:t>
      </w:r>
    </w:p>
    <w:p>
      <w:pPr>
        <w:pStyle w:val="Heading3"/>
      </w:pPr>
      <w:r>
        <w:t>3.2 Idempotency is a consequence, not a mechanism</w:t>
      </w:r>
    </w:p>
    <w:p>
      <w:r>
        <w:t xml:space="preserve">Every id is </w:t>
      </w:r>
      <w:r>
        <w:rPr>
          <w:rFonts w:ascii="Consolas" w:hAnsi="Consolas"/>
          <w:sz w:val="19"/>
        </w:rPr>
        <w:t>uuid5</w:t>
      </w:r>
      <w:r>
        <w:t xml:space="preserve"> of the source data — </w:t>
      </w:r>
      <w:r>
        <w:rPr>
          <w:rFonts w:ascii="Consolas" w:hAnsi="Consolas"/>
          <w:sz w:val="19"/>
        </w:rPr>
        <w:t>stable_id("profile", "P01")</w:t>
      </w:r>
      <w:r>
        <w:t>,</w:t>
      </w:r>
    </w:p>
    <w:p>
      <w:r>
        <w:rPr>
          <w:rFonts w:ascii="Consolas" w:hAnsi="Consolas"/>
          <w:sz w:val="19"/>
        </w:rPr>
        <w:t>stable_id("session", filename)</w:t>
      </w:r>
      <w:r>
        <w:t xml:space="preserve"> — from a fixed namespace constant. A second run</w:t>
      </w:r>
    </w:p>
    <w:p>
      <w:r>
        <w:t>computes the same ids and upserts the same rows.</w:t>
      </w:r>
    </w:p>
    <w:p>
      <w:r>
        <w:t xml:space="preserve">That also makes a </w:t>
      </w:r>
      <w:r>
        <w:rPr>
          <w:i/>
        </w:rPr>
        <w:t>failed half-run</w:t>
      </w:r>
      <w:r>
        <w:t xml:space="preserve"> safe: re-running addresses the same rows</w:t>
      </w:r>
    </w:p>
    <w:p>
      <w:r>
        <w:t xml:space="preserve">rather than creating a second copy. </w:t>
      </w:r>
      <w:r>
        <w:rPr>
          <w:rFonts w:ascii="Consolas" w:hAnsi="Consolas"/>
          <w:sz w:val="19"/>
        </w:rPr>
        <w:t>session_events</w:t>
      </w:r>
      <w:r>
        <w:t xml:space="preserve"> is the exception, since the</w:t>
      </w:r>
    </w:p>
    <w:p>
      <w:r>
        <w:t>append-only trigger refuses UPDATE and DELETE — so the events step is</w:t>
      </w:r>
    </w:p>
    <w:p>
      <w:r>
        <w:t>skip-if-present rather than an upsert.</w:t>
      </w:r>
    </w:p>
    <w:p>
      <w:pPr>
        <w:pStyle w:val="Heading3"/>
      </w:pPr>
      <w:r>
        <w:t>3.3 Provenance, and a contract that had to widen</w:t>
      </w:r>
    </w:p>
    <w:p>
      <w:r>
        <w:rPr>
          <w:rFonts w:ascii="Consolas" w:hAnsi="Consolas"/>
          <w:sz w:val="19"/>
        </w:rPr>
        <w:t>DATA_MODEL</w:t>
      </w:r>
      <w:r>
        <w:t xml:space="preserve"> §9.3 requires </w:t>
      </w:r>
      <w:r>
        <w:rPr>
          <w:rFonts w:ascii="Consolas" w:hAnsi="Consolas"/>
          <w:sz w:val="19"/>
        </w:rPr>
        <w:t>"provenance": "backfilled"</w:t>
      </w:r>
      <w:r>
        <w:t xml:space="preserve"> in every synthesised</w:t>
      </w:r>
    </w:p>
    <w:p>
      <w:r>
        <w:t xml:space="preserve">payload. </w:t>
      </w:r>
      <w:r>
        <w:rPr>
          <w:b/>
        </w:rPr>
        <w:t>T-013's validator refused it</w:t>
      </w:r>
      <w:r>
        <w:t>, because unknown keys are rejected —</w:t>
      </w:r>
    </w:p>
    <w:p>
      <w:r>
        <w:t>which is the unknown-key rule working exactly as designed, and directly in the</w:t>
      </w:r>
    </w:p>
    <w:p>
      <w:r>
        <w:t>way of the spec.</w:t>
      </w:r>
    </w:p>
    <w:p>
      <w:r>
        <w:rPr>
          <w:rFonts w:ascii="Consolas" w:hAnsi="Consolas"/>
          <w:sz w:val="19"/>
        </w:rPr>
        <w:t>provenance</w:t>
      </w:r>
      <w:r>
        <w:t xml:space="preserve"> is now an allowed optional key on every event type. The alternative</w:t>
      </w:r>
    </w:p>
    <w:p>
      <w:r>
        <w:t>was letting the backfill skip validation, and a script that bypasses the</w:t>
      </w:r>
    </w:p>
    <w:p>
      <w:r>
        <w:t>validator is a script that can write malformed events into an append-only table.</w:t>
      </w:r>
    </w:p>
    <w:p>
      <w:r>
        <w:t>The marker earns its place immediately. Against the local stack after the</w:t>
      </w:r>
    </w:p>
    <w:p>
      <w:r>
        <w:t>import: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events by provenance:</w:t>
        <w:br/>
        <w:t xml:space="preserve">   backfilled     417</w:t>
        <w:br/>
        <w:t xml:space="preserve">   (live)          19</w:t>
      </w:r>
    </w:p>
    <w:p>
      <w:r>
        <w:t>Those 19 are from the gunicorn verification in T-013. The warning in §9.3 —</w:t>
      </w:r>
    </w:p>
    <w:p>
      <w:r>
        <w:t>*backfilled timestamps are synthetic and must be excluded from any timing</w:t>
      </w:r>
    </w:p>
    <w:p>
      <w:r>
        <w:t>analysis* — is only actionable because the two are distinguishable, and zero</w:t>
      </w:r>
    </w:p>
    <w:p>
      <w:r>
        <w:t>unmarked events belong to a backfilled session.</w:t>
      </w:r>
    </w:p>
    <w:p>
      <w:pPr>
        <w:pStyle w:val="Heading3"/>
      </w:pPr>
      <w:r>
        <w:t>3.4 It does not run as the application</w:t>
      </w:r>
    </w:p>
    <w:p>
      <w:r>
        <w:t>The first run failed: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permission denied for table engine_versions</w:t>
      </w:r>
    </w:p>
    <w:p>
      <w:r>
        <w:t>Migration 020 grants the application role SELECT on clinical and engine content</w:t>
      </w:r>
    </w:p>
    <w:p>
      <w:r>
        <w:t>and nothing more, deliberately. The obvious fix — widen the grant — would also</w:t>
      </w:r>
    </w:p>
    <w:p>
      <w:r>
        <w:t xml:space="preserve">widen it for </w:t>
      </w:r>
      <w:r>
        <w:rPr>
          <w:rFonts w:ascii="Consolas" w:hAnsi="Consolas"/>
          <w:sz w:val="19"/>
        </w:rPr>
        <w:t>nidan_service</w:t>
      </w:r>
      <w:r>
        <w:t xml:space="preserve">, which is the role the </w:t>
      </w:r>
      <w:r>
        <w:rPr>
          <w:b/>
        </w:rPr>
        <w:t>anonymous-trial path</w:t>
      </w:r>
    </w:p>
    <w:p>
      <w:r>
        <w:t>runs as. That is far too high a price for a run-once import.</w:t>
      </w:r>
    </w:p>
    <w:p>
      <w:r>
        <w:t>So the backfill connects as the migrating user, like alembic does. It is an</w:t>
      </w:r>
    </w:p>
    <w:p>
      <w:r>
        <w:t>operator task, not a request, and it writes two things the application must</w:t>
      </w:r>
    </w:p>
    <w:p>
      <w:r>
        <w:t xml:space="preserve">never write: </w:t>
      </w:r>
      <w:r>
        <w:rPr>
          <w:rFonts w:ascii="Consolas" w:hAnsi="Consolas"/>
          <w:sz w:val="19"/>
        </w:rPr>
        <w:t>engine_versions</w:t>
      </w:r>
      <w:r>
        <w:t xml:space="preserve">, and </w:t>
      </w:r>
      <w:r>
        <w:rPr>
          <w:rFonts w:ascii="Consolas" w:hAnsi="Consolas"/>
          <w:sz w:val="19"/>
        </w:rPr>
        <w:t>auth.users</w:t>
      </w:r>
      <w:r>
        <w:t>.</w:t>
      </w:r>
    </w:p>
    <w:p>
      <w:r>
        <w:t xml:space="preserve">That second one is worth flagging. </w:t>
      </w:r>
      <w:r>
        <w:rPr>
          <w:rFonts w:ascii="Consolas" w:hAnsi="Consolas"/>
          <w:sz w:val="19"/>
        </w:rPr>
        <w:t>profiles.id</w:t>
      </w:r>
      <w:r>
        <w:t xml:space="preserve"> references </w:t>
      </w:r>
      <w:r>
        <w:rPr>
          <w:rFonts w:ascii="Consolas" w:hAnsi="Consolas"/>
          <w:sz w:val="19"/>
        </w:rPr>
        <w:t>auth.users</w:t>
      </w:r>
      <w:r>
        <w:t>, which</w:t>
      </w:r>
    </w:p>
    <w:p>
      <w:r>
        <w:rPr>
          <w:b/>
        </w:rPr>
        <w:t>Supabase owns in production</w:t>
      </w:r>
      <w:r>
        <w:t>. The pilot participants have no account and</w:t>
      </w:r>
    </w:p>
    <w:p>
      <w:r>
        <w:t>never will — no email, no credentials, nobody can sign in as them — so the auth</w:t>
      </w:r>
    </w:p>
    <w:p>
      <w:r>
        <w:t>row is a placeholder that exists only to satisfy the foreign key. It is written</w:t>
      </w:r>
    </w:p>
    <w:p>
      <w:r>
        <w:t>in one clearly-marked function, which is the line to replace with Supabase's</w:t>
      </w:r>
    </w:p>
    <w:p>
      <w:r>
        <w:t>admin API if this is ever run against a live project.</w:t>
      </w:r>
    </w:p>
    <w:p>
      <w:pPr>
        <w:pStyle w:val="Heading3"/>
      </w:pPr>
      <w:r>
        <w:t>3.5 Small mappings, each of which fails loudly if missed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year_of_study: "year_3"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year_of_training SMALLINT CHECK 1–10</w:t>
            </w:r>
          </w:p>
        </w:tc>
        <w:tc>
          <w:tcPr>
            <w:tcW w:type="dxa" w:w="2880"/>
          </w:tcPr>
          <w:p>
            <w:r>
              <w:t>parse the digit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confidence_pre: "3"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confidence_pre SMALLINT</w:t>
            </w:r>
          </w:p>
        </w:tc>
        <w:tc>
          <w:tcPr>
            <w:tcW w:type="dxa" w:w="2880"/>
          </w:tcPr>
          <w:p>
            <w:r>
              <w:t>string → int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participant_id: "P01"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research_pid TEXT UNIQUE</w:t>
            </w:r>
          </w:p>
        </w:tc>
        <w:tc>
          <w:tcPr>
            <w:tcW w:type="dxa" w:w="2880"/>
          </w:tcPr>
          <w:p>
            <w:r>
              <w:t>direct</w:t>
            </w:r>
          </w:p>
        </w:tc>
      </w:tr>
    </w:tbl>
    <w:p/>
    <w:p>
      <w:pPr>
        <w:pStyle w:val="Heading2"/>
      </w:pPr>
      <w:r>
        <w:t>4 · Where we diverged from the specification</w:t>
      </w:r>
    </w:p>
    <w:p>
      <w:r>
        <w:rPr>
          <w:b/>
        </w:rPr>
        <w:t>The scorecards are the pilot's `clinical_eval` blocks, not §8.6's shape.</w:t>
      </w:r>
    </w:p>
    <w:p>
      <w:r>
        <w:t>Rebuilding them would be recomputation, and criterion 3 says the results match</w:t>
      </w:r>
    </w:p>
    <w:p>
      <w:r>
        <w:t>the original JSON exactly.</w:t>
      </w:r>
    </w:p>
    <w:p>
      <w:r>
        <w:rPr>
          <w:b/>
        </w:rPr>
        <w:t>`bias_detail` has no `counters` and no `rule_fired`.</w:t>
      </w:r>
      <w:r>
        <w:t xml:space="preserve"> Both were added in</w:t>
      </w:r>
    </w:p>
    <w:p>
      <w:r>
        <w:t>T-016, so these sixteen rows are the only ones in the table without them. A</w:t>
      </w:r>
    </w:p>
    <w:p>
      <w:r>
        <w:t>reader that assumes §8.5's current shape will break on exactly the oldest data —</w:t>
      </w:r>
    </w:p>
    <w:p>
      <w:r>
        <w:t>worth knowing before writing that reader, and recorded here rather than</w:t>
      </w:r>
    </w:p>
    <w:p>
      <w:r>
        <w:t>discovered later.</w:t>
      </w:r>
    </w:p>
    <w:p>
      <w:r>
        <w:rPr>
          <w:b/>
        </w:rPr>
        <w:t>The import is not run in production by default.</w:t>
      </w:r>
      <w:r>
        <w:t xml:space="preserve"> Whether real participants'</w:t>
      </w:r>
    </w:p>
    <w:p>
      <w:r>
        <w:t>data belongs in the production database is a privacy decision, not an</w:t>
      </w:r>
    </w:p>
    <w:p>
      <w:r>
        <w:t>engineering one. Run locally and in staging; decide separately, closer to launch.</w:t>
      </w:r>
    </w:p>
    <w:p>
      <w:r>
        <w:t>Agreed with Vraj.</w:t>
      </w:r>
    </w:p>
    <w:p>
      <w:r>
        <w:rPr>
          <w:b/>
        </w:rPr>
        <w:t>The drafts wall did not block this</w:t>
      </w:r>
      <w:r>
        <w:t>, for the first time in four tasks.</w:t>
      </w:r>
    </w:p>
    <w:p>
      <w:r>
        <w:rPr>
          <w:rFonts w:ascii="Consolas" w:hAnsi="Consolas"/>
          <w:sz w:val="19"/>
        </w:rPr>
        <w:t>sessions.case_version_id</w:t>
      </w:r>
      <w:r>
        <w:t xml:space="preserve"> has no published requirement, so backfilled sessions</w:t>
      </w:r>
    </w:p>
    <w:p>
      <w:r>
        <w:t>point at the seeded draft versions perfectly well.</w:t>
      </w:r>
    </w:p>
    <w:p/>
    <w:p>
      <w:pPr>
        <w:pStyle w:val="Heading2"/>
      </w:pPr>
      <w:r>
        <w:t>5 · The labelling pass</w:t>
      </w:r>
    </w:p>
    <w:p>
      <w:r>
        <w:t>Requested alongside this task: make it obvious which parts of the repository are</w:t>
      </w:r>
    </w:p>
    <w:p>
      <w:r>
        <w:t>product and which are research.</w:t>
      </w:r>
    </w:p>
    <w:p>
      <w:r>
        <w:t xml:space="preserve">Rather than moving or deleting anything, </w:t>
      </w:r>
      <w:r>
        <w:rPr>
          <w:rFonts w:ascii="Consolas" w:hAnsi="Consolas"/>
          <w:sz w:val="19"/>
        </w:rPr>
        <w:t>README.md</w:t>
      </w:r>
      <w:r>
        <w:t xml:space="preserve"> and </w:t>
      </w:r>
      <w:r>
        <w:rPr>
          <w:rFonts w:ascii="Consolas" w:hAnsi="Consolas"/>
          <w:sz w:val="19"/>
        </w:rPr>
        <w:t>PROJECT_MAP.md</w:t>
      </w:r>
      <w:r>
        <w:t xml:space="preserve"> now</w:t>
      </w:r>
    </w:p>
    <w:p>
      <w:r>
        <w:t xml:space="preserve">open with the same three-way split — </w:t>
      </w:r>
      <w:r>
        <w:rPr>
          <w:b/>
        </w:rPr>
        <w:t>product · research · process</w:t>
      </w:r>
      <w:r>
        <w:t xml:space="preserve"> — and</w:t>
      </w:r>
    </w:p>
    <w:p>
      <w:r>
        <w:t>state the fact that settles the question:</w:t>
      </w:r>
    </w:p>
    <w:p>
      <w:pPr>
        <w:ind w:left="480"/>
      </w:pPr>
      <w:r>
        <w:rPr>
          <w:i/>
        </w:rPr>
        <w:t xml:space="preserve">The deployed artefact is the container image, and it contains only </w:t>
      </w:r>
      <w:r>
        <w:rPr>
          <w:rFonts w:ascii="Consolas" w:hAnsi="Consolas"/>
          <w:i/>
          <w:sz w:val="19"/>
        </w:rPr>
        <w:t>nidan/</w:t>
      </w:r>
      <w:r>
        <w:rPr>
          <w:i/>
        </w:rPr>
        <w:t>.</w:t>
      </w:r>
    </w:p>
    <w:p>
      <w:r>
        <w:t xml:space="preserve">The Dockerfile copies </w:t>
      </w:r>
      <w:r>
        <w:rPr>
          <w:rFonts w:ascii="Consolas" w:hAnsi="Consolas"/>
          <w:sz w:val="19"/>
        </w:rPr>
        <w:t>pyproject.toml</w:t>
      </w:r>
      <w:r>
        <w:t xml:space="preserve">, </w:t>
      </w:r>
      <w:r>
        <w:rPr>
          <w:rFonts w:ascii="Consolas" w:hAnsi="Consolas"/>
          <w:sz w:val="19"/>
        </w:rPr>
        <w:t>README.md</w:t>
      </w:r>
      <w:r>
        <w:t xml:space="preserve"> and </w:t>
      </w:r>
      <w:r>
        <w:rPr>
          <w:rFonts w:ascii="Consolas" w:hAnsi="Consolas"/>
          <w:sz w:val="19"/>
        </w:rPr>
        <w:t>nidan/</w:t>
      </w:r>
      <w:r>
        <w:t>, and nothing</w:t>
      </w:r>
    </w:p>
    <w:p>
      <w:r>
        <w:t>else. The separation already existed at the boundary that decides what runs.</w:t>
      </w:r>
    </w:p>
    <w:p>
      <w:r>
        <w:t>Deleting the research from the repository was considered and rejected for three</w:t>
      </w:r>
    </w:p>
    <w:p>
      <w:r>
        <w:t xml:space="preserve">reasons: </w:t>
      </w:r>
      <w:r>
        <w:rPr>
          <w:rFonts w:ascii="Consolas" w:hAnsi="Consolas"/>
          <w:sz w:val="19"/>
        </w:rPr>
        <w:t>sessions/*.json</w:t>
      </w:r>
      <w:r>
        <w:t xml:space="preserve"> is a </w:t>
      </w:r>
      <w:r>
        <w:rPr>
          <w:b/>
        </w:rPr>
        <w:t>test input</w:t>
      </w:r>
      <w:r>
        <w:t xml:space="preserve"> read on every push by</w:t>
      </w:r>
    </w:p>
    <w:p>
      <w:r>
        <w:rPr>
          <w:rFonts w:ascii="Consolas" w:hAnsi="Consolas"/>
          <w:sz w:val="19"/>
        </w:rPr>
        <w:t>test_golden_assessment.py</w:t>
      </w:r>
      <w:r>
        <w:t>, so removing it would delete the test that protects</w:t>
      </w:r>
    </w:p>
    <w:p>
      <w:r>
        <w:t>the published claim; deleting a folder does not remove it from git history, and</w:t>
      </w:r>
    </w:p>
    <w:p>
      <w:r>
        <w:t>rewriting history would break every clone and every PR reference; and for a</w:t>
      </w:r>
    </w:p>
    <w:p>
      <w:r>
        <w:t>final-year project the repository is part of what is submitted, where the paper</w:t>
      </w:r>
    </w:p>
    <w:p>
      <w:r>
        <w:t>and the pilot data are evidence rather than clutter.</w:t>
      </w:r>
    </w:p>
    <w:p>
      <w:r>
        <w:rPr>
          <w:b/>
        </w:rPr>
        <w:t>Seven stale references were fixed while in there.</w:t>
      </w:r>
      <w:r>
        <w:t xml:space="preserve"> The README credited</w:t>
      </w:r>
    </w:p>
    <w:p>
      <w:r>
        <w:rPr>
          <w:i/>
        </w:rPr>
        <w:t>Gemini 2.5 Flash</w:t>
      </w:r>
      <w:r>
        <w:t xml:space="preserve"> and told readers to get a Gemini API key — the model changed</w:t>
      </w:r>
    </w:p>
    <w:p>
      <w:r>
        <w:t>to Llama 3.3 70B via Groq in Phase 0 (</w:t>
      </w:r>
      <w:r>
        <w:rPr>
          <w:rFonts w:ascii="Consolas" w:hAnsi="Consolas"/>
          <w:sz w:val="19"/>
        </w:rPr>
        <w:t>ADR-0011</w:t>
      </w:r>
      <w:r>
        <w:t>). Its "Project Structure"</w:t>
      </w:r>
    </w:p>
    <w:p>
      <w:r>
        <w:t>section still described the pre-T-001 layout (</w:t>
      </w:r>
      <w:r>
        <w:rPr>
          <w:rFonts w:ascii="Consolas" w:hAnsi="Consolas"/>
          <w:sz w:val="19"/>
        </w:rPr>
        <w:t>app.py</w:t>
      </w:r>
      <w:r>
        <w:t xml:space="preserve">, </w:t>
      </w:r>
      <w:r>
        <w:rPr>
          <w:rFonts w:ascii="Consolas" w:hAnsi="Consolas"/>
          <w:sz w:val="19"/>
        </w:rPr>
        <w:t>bias_detector.py</w:t>
      </w:r>
      <w:r>
        <w:t xml:space="preserve"> at</w:t>
      </w:r>
    </w:p>
    <w:p>
      <w:r>
        <w:t>the root), none of which has existed for sixteen tasks.</w:t>
      </w:r>
    </w:p>
    <w:p/>
    <w:p>
      <w:pPr>
        <w:pStyle w:val="Heading2"/>
      </w:pPr>
      <w:r>
        <w:t>6 · A probe that appeared to prove nothing, one level up</w:t>
      </w:r>
    </w:p>
    <w:p>
      <w:r>
        <w:t>Three probes, each breaking something the tests guard: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Break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Drop the provenance marker</w:t>
            </w:r>
          </w:p>
        </w:tc>
        <w:tc>
          <w:tcPr>
            <w:tcW w:type="dxa" w:w="4320"/>
          </w:tcPr>
          <w:p>
            <w:r>
              <w:t>1 failure</w:t>
            </w:r>
          </w:p>
        </w:tc>
      </w:tr>
      <w:tr>
        <w:tc>
          <w:tcPr>
            <w:tcW w:type="dxa" w:w="4320"/>
          </w:tcPr>
          <w:p>
            <w:r>
              <w:t>Store a wrong score instead of the published one</w:t>
            </w:r>
          </w:p>
        </w:tc>
        <w:tc>
          <w:tcPr>
            <w:tcW w:type="dxa" w:w="4320"/>
          </w:tcPr>
          <w:p>
            <w:r>
              <w:t>2 failures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Non-deterministic ids (breaks idempotency)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"0 failures"</w:t>
            </w:r>
          </w:p>
        </w:tc>
      </w:tr>
    </w:tbl>
    <w:p>
      <w:r>
        <w:t>The third looked like an untested guard. It was not: the probe produced **14</w:t>
      </w:r>
    </w:p>
    <w:p>
      <w:r>
        <w:t xml:space="preserve">errors**, not failures — a </w:t>
      </w:r>
      <w:r>
        <w:rPr>
          <w:rFonts w:ascii="Consolas" w:hAnsi="Consolas"/>
          <w:sz w:val="19"/>
        </w:rPr>
        <w:t>UNIQUE</w:t>
      </w:r>
      <w:r>
        <w:t xml:space="preserve"> violation on </w:t>
      </w:r>
      <w:r>
        <w:rPr>
          <w:rFonts w:ascii="Consolas" w:hAnsi="Consolas"/>
          <w:sz w:val="19"/>
        </w:rPr>
        <w:t>research_pid</w:t>
      </w:r>
      <w:r>
        <w:t xml:space="preserve"> raised inside</w:t>
      </w:r>
    </w:p>
    <w:p>
      <w:r>
        <w:t>the fixture, and pytest reports fixture failures as ERROR. My</w:t>
      </w:r>
    </w:p>
    <w:p>
      <w:r>
        <w:rPr>
          <w:rFonts w:ascii="Consolas" w:hAnsi="Consolas"/>
          <w:sz w:val="19"/>
        </w:rPr>
        <w:t>grep -c "^FAILED"</w:t>
      </w:r>
      <w:r>
        <w:t xml:space="preserve"> counted zero.</w:t>
      </w:r>
    </w:p>
    <w:p>
      <w:r>
        <w:t xml:space="preserve">T-017 recorded a probe whose </w:t>
      </w:r>
      <w:r>
        <w:rPr>
          <w:i/>
        </w:rPr>
        <w:t>mutation</w:t>
      </w:r>
      <w:r>
        <w:t xml:space="preserve"> silently did nothing. This one's</w:t>
      </w:r>
    </w:p>
    <w:p>
      <w:r>
        <w:t xml:space="preserve">mutation worked perfectly and the </w:t>
      </w:r>
      <w:r>
        <w:rPr>
          <w:i/>
        </w:rPr>
        <w:t>measurement</w:t>
      </w:r>
      <w:r>
        <w:t xml:space="preserve"> was wrong. Same lesson, one</w:t>
      </w:r>
    </w:p>
    <w:p>
      <w:r>
        <w:t xml:space="preserve">level up: </w:t>
      </w:r>
      <w:r>
        <w:rPr>
          <w:b/>
        </w:rPr>
        <w:t>the probe has to be checked as carefully as the thing it probes.</w:t>
      </w:r>
    </w:p>
    <w:p/>
    <w:p>
      <w:pPr>
        <w:pStyle w:val="Heading2"/>
      </w:pPr>
      <w:r>
        <w:t>7 · Verification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                          555 passed        (was 540)</w:t>
        <w:br/>
        <w:t>pytest tests/db -q --no-cov     180 passed        (was 165)</w:t>
        <w:br/>
        <w:t>ruff check .                    All checks passed</w:t>
        <w:br/>
        <w:t>mypy nidan/domain --strict      Success</w:t>
        <w:br/>
        <w:t>lint-imports                    2 contracts kept, 0 broken</w:t>
      </w:r>
    </w:p>
    <w:p>
      <w:r>
        <w:t>And run for real against the local stack: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Imported the pilot:</w:t>
        <w:br/>
        <w:t xml:space="preserve">  profiles   16      sessions   16      events    417</w:t>
        <w:br/>
        <w:t xml:space="preserve">  results    16      feedback   16      history    16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participants : 8</w:t>
        <w:br/>
        <w:t>sessions     : 16 backfilled + 2 from the T-013 gunicorn run</w:t>
        <w:br/>
        <w:t>verdicts     : {'correct': 12, 'anchored': 3, 'other': 1}</w:t>
      </w:r>
    </w:p>
    <w:p>
      <w:r>
        <w:t>The verdict distribution matches the pilot exactly.</w:t>
      </w:r>
    </w:p>
    <w:p/>
    <w:p>
      <w:pPr>
        <w:pStyle w:val="Heading2"/>
      </w:pPr>
      <w:r>
        <w:t>8 · What this changes for you</w:t>
      </w:r>
    </w:p>
    <w:p>
      <w:r>
        <w:rPr>
          <w:b/>
        </w:rPr>
        <w:t>Your pilot is now queryable.</w:t>
      </w:r>
      <w:r>
        <w:t xml:space="preserve"> Eight participants, sixteen consultations,</w:t>
      </w:r>
    </w:p>
    <w:p>
      <w:r>
        <w:t>their events, results, feedback and case history — in the same schema the</w:t>
      </w:r>
    </w:p>
    <w:p>
      <w:r>
        <w:t>product uses.</w:t>
      </w:r>
    </w:p>
    <w:p>
      <w:r>
        <w:rPr>
          <w:b/>
        </w:rPr>
        <w:t>Phase 2 gets real data.</w:t>
      </w:r>
      <w:r>
        <w:t xml:space="preserve"> The admin console, history and progress screens are</w:t>
      </w:r>
    </w:p>
    <w:p>
      <w:r>
        <w:t>built against sixteen genuine consultations rather than fixtures. Fixture data</w:t>
      </w:r>
    </w:p>
    <w:p>
      <w:r>
        <w:t>agrees with whatever you built; real data argues back.</w:t>
      </w:r>
    </w:p>
    <w:p>
      <w:r>
        <w:rPr>
          <w:b/>
        </w:rPr>
        <w:t>Nothing about running the app changes.</w:t>
      </w:r>
      <w:r>
        <w:t xml:space="preserve"> The script is run-once and separate.</w:t>
      </w:r>
    </w:p>
    <w:p/>
    <w:p>
      <w:pPr>
        <w:pStyle w:val="Heading2"/>
      </w:pPr>
      <w:r>
        <w:t>9 · Known debt left behind</w:t>
      </w:r>
    </w:p>
    <w:p>
      <w:r>
        <w:rPr>
          <w:b/>
        </w:rPr>
        <w:t>The synthesised log is block-ordered.</w:t>
      </w:r>
      <w:r>
        <w:t xml:space="preserve"> The JSON preserved questions,</w:t>
      </w:r>
    </w:p>
    <w:p>
      <w:r>
        <w:t>examinations and investigations as separate blocks but not their interleaving,</w:t>
      </w:r>
    </w:p>
    <w:p>
      <w:r>
        <w:t>so the order is plausible rather than true, and the timestamps are one second</w:t>
      </w:r>
    </w:p>
    <w:p>
      <w:r>
        <w:t>apart. Hence the provenance marker and the warning attached to it.</w:t>
      </w:r>
    </w:p>
    <w:p>
      <w:r>
        <w:rPr>
          <w:b/>
        </w:rPr>
        <w:t>Sixteen rows lack `counters` and `rule_fired`</w:t>
      </w:r>
      <w:r>
        <w:t>, as above.</w:t>
      </w:r>
    </w:p>
    <w:p>
      <w:r>
        <w:rPr>
          <w:b/>
        </w:rPr>
        <w:t>`auth.users` placeholder rows</w:t>
      </w:r>
      <w:r>
        <w:t xml:space="preserve"> would need Supabase's admin API to run against</w:t>
      </w:r>
    </w:p>
    <w:p>
      <w:r>
        <w:t>a live project.</w:t>
      </w:r>
    </w:p>
    <w:p>
      <w:r>
        <w:rPr>
          <w:b/>
        </w:rPr>
        <w:t>Per-question topic attribution is unrecoverable</w:t>
      </w:r>
      <w:r>
        <w:t xml:space="preserve"> — the aggregate is all the</w:t>
      </w:r>
    </w:p>
    <w:p>
      <w:r>
        <w:t>pilot format kept, so every topic is attached to the first reply.</w:t>
      </w:r>
    </w:p>
    <w:p/>
    <w:p>
      <w:pPr>
        <w:pStyle w:val="Heading2"/>
      </w:pPr>
      <w:r>
        <w:t>10 · How to undo 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DELETE FROM profiles WHERE research_pid LIKE 'P0%';   -- cascades to sessions,</w:t>
        <w:br/>
        <w:t xml:space="preserve">                                                      -- events, results, feedback</w:t>
        <w:br/>
        <w:t>DELETE FROM engine_versions WHERE version = 'pilot-2026-07';</w:t>
      </w:r>
    </w:p>
    <w:p>
      <w:r>
        <w:rPr>
          <w:rFonts w:ascii="Consolas" w:hAnsi="Consolas"/>
          <w:sz w:val="19"/>
        </w:rPr>
        <w:t>ON DELETE CASCADE</w:t>
      </w:r>
      <w:r>
        <w:t xml:space="preserve"> from </w:t>
      </w:r>
      <w:r>
        <w:rPr>
          <w:rFonts w:ascii="Consolas" w:hAnsi="Consolas"/>
          <w:sz w:val="19"/>
        </w:rPr>
        <w:t>profiles</w:t>
      </w:r>
      <w:r>
        <w:t xml:space="preserve"> removes everything the import created. The</w:t>
      </w:r>
    </w:p>
    <w:p>
      <w:r>
        <w:t>JSON files are untouched and remain the source of truth.</w:t>
      </w:r>
    </w:p>
    <w:p/>
    <w:p>
      <w:pPr>
        <w:pStyle w:val="Heading2"/>
      </w:pPr>
      <w:r>
        <w:t>11 · Next</w:t>
      </w:r>
    </w:p>
    <w:p>
      <w:r>
        <w:rPr>
          <w:b/>
        </w:rPr>
        <w:t>Phase 1 is nearly closed.</w:t>
      </w:r>
      <w:r>
        <w:t xml:space="preserve"> Then Phase 2 — and </w:t>
      </w:r>
      <w:r>
        <w:rPr>
          <w:rFonts w:ascii="Consolas" w:hAnsi="Consolas"/>
          <w:sz w:val="19"/>
        </w:rPr>
        <w:t>BUILD_PLAN</w:t>
      </w:r>
      <w:r>
        <w:t xml:space="preserve"> calls it *"the</w:t>
      </w:r>
    </w:p>
    <w:p>
      <w:r>
        <w:t>milestone that matters most"*:</w:t>
      </w:r>
    </w:p>
    <w:p>
      <w:pPr>
        <w:ind w:left="480"/>
      </w:pPr>
      <w:r>
        <w:rPr>
          <w:b/>
          <w:i/>
        </w:rPr>
        <w:t>Goal:</w:t>
      </w:r>
      <w:r>
        <w:rPr>
          <w:i/>
        </w:rPr>
        <w:t xml:space="preserve"> clinicians can review cases without reading code.</w:t>
      </w:r>
    </w:p>
    <w:p>
      <w:r>
        <w:rPr>
          <w:b/>
        </w:rPr>
        <w:t>T-023 is the gate.</w:t>
      </w:r>
      <w:r>
        <w:t xml:space="preserve"> Until the clinical review workflow exists, no case can be</w:t>
      </w:r>
    </w:p>
    <w:p>
      <w:r>
        <w:t>published, selection has nothing to select, your two clinician reviewers cannot</w:t>
      </w:r>
    </w:p>
    <w:p>
      <w:r>
        <w:t>look at a case at all, and content authoring — which §11.1 rates the real</w:t>
      </w:r>
    </w:p>
    <w:p>
      <w:r>
        <w:t>critical path — cannot start in earnest. Four tasks have now hit that wall.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