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F6F4A"/>
          <w:sz w:val="64"/>
          <w:szCs w:val="64"/>
        </w:rPr>
        <w:t xml:space="preserve">EcoSphere</w:t>
      </w:r>
    </w:p>
    <w:p>
      <w:pPr>
        <w:spacing w:after="100"/>
        <w:jc w:val="center"/>
      </w:pPr>
      <w:r>
        <w:rPr>
          <w:b/>
          <w:bCs/>
          <w:color w:val="1A1A1A"/>
          <w:sz w:val="32"/>
          <w:szCs w:val="32"/>
        </w:rPr>
        <w:t xml:space="preserve">ESG Management Platform</w:t>
      </w:r>
    </w:p>
    <w:p>
      <w:pPr>
        <w:spacing w:after="60"/>
        <w:jc w:val="center"/>
      </w:pPr>
      <w:r>
        <w:rPr>
          <w:color w:val="5B5B5B"/>
          <w:sz w:val="24"/>
          <w:szCs w:val="24"/>
        </w:rPr>
        <w:t xml:space="preserve">Product Requirements Document (PRD)</w:t>
      </w:r>
    </w:p>
    <w:p>
      <w:pPr>
        <w:spacing w:after="60"/>
        <w:jc w:val="center"/>
      </w:pPr>
      <w:r>
        <w:rPr>
          <w:i/>
          <w:iCs/>
          <w:color w:val="5B5B5B"/>
          <w:sz w:val="22"/>
          <w:szCs w:val="22"/>
        </w:rPr>
        <w:t xml:space="preserve">Hackathon Build — 8-Hour Sprint</w:t>
      </w:r>
    </w:p>
    <w:p>
      <w:pPr>
        <w:spacing w:after="800"/>
        <w:jc w:val="center"/>
      </w:pPr>
      <w:r>
        <w:rPr>
          <w:color w:val="5B5B5B"/>
          <w:sz w:val="20"/>
          <w:szCs w:val="20"/>
        </w:rPr>
        <w:t xml:space="preserve">Version 1.0</w:t>
      </w:r>
    </w:p>
    <w:p>
      <w:r>
        <w:br w:type="page"/>
      </w:r>
    </w:p>
    <w:p>
      <w:pPr>
        <w:pStyle w:val="Heading1"/>
        <w:spacing w:after="200" w:before="400"/>
      </w:pPr>
      <w:r>
        <w:rPr>
          <w:b/>
          <w:bCs/>
          <w:color w:val="1F6F4A"/>
        </w:rPr>
        <w:t xml:space="preserve">1. Overview</w:t>
      </w:r>
    </w:p>
    <w:p>
      <w:pPr>
        <w:pStyle w:val="Heading2"/>
        <w:spacing w:after="150" w:before="300"/>
      </w:pPr>
      <w:r>
        <w:rPr>
          <w:b/>
          <w:bCs/>
          <w:color w:val="1A1A1A"/>
        </w:rPr>
        <w:t xml:space="preserve">1.1 Problem Statement</w:t>
      </w:r>
    </w:p>
    <w:p>
      <w:pPr>
        <w:spacing w:after="120"/>
      </w:pPr>
      <w:r>
        <w:t xml:space="preserve">Organizations are increasingly expected to monitor and report on Environmental, Social, and Governance (ESG) performance. While ERP systems capture operational data, ESG reporting today is manual, disconnected across departments, and difficult to monitor in real time.</w:t>
      </w:r>
    </w:p>
    <w:p>
      <w:pPr>
        <w:pStyle w:val="Heading2"/>
        <w:spacing w:after="150" w:before="300"/>
      </w:pPr>
      <w:r>
        <w:rPr>
          <w:b/>
          <w:bCs/>
          <w:color w:val="1A1A1A"/>
        </w:rPr>
        <w:t xml:space="preserve">1.2 Product Vision</w:t>
      </w:r>
    </w:p>
    <w:p>
      <w:pPr>
        <w:spacing w:after="120"/>
      </w:pPr>
      <w:r>
        <w:t xml:space="preserve">EcoSphere integrates ESG directly into day-to-day ERP operations. It measures sustainability metrics, drives employee participation through gamification, and produces meaningful, exportable reports for management — all from a single unified dashboard.</w:t>
      </w:r>
    </w:p>
    <w:p>
      <w:pPr>
        <w:pStyle w:val="Heading2"/>
        <w:spacing w:after="150" w:before="300"/>
      </w:pPr>
      <w:r>
        <w:rPr>
          <w:b/>
          <w:bCs/>
          <w:color w:val="1A1A1A"/>
        </w:rPr>
        <w:t xml:space="preserve">1.3 Goals for This Build</w:t>
      </w:r>
    </w:p>
    <w:p>
      <w:pPr>
        <w:pStyle w:val="ListParagraph"/>
        <w:numPr>
          <w:ilvl w:val="0"/>
          <w:numId w:val="2"/>
        </w:numPr>
        <w:spacing w:after="60"/>
      </w:pPr>
      <w:r>
        <w:t xml:space="preserve">Deliver a working, end-to-end demo covering all three ESG pillars plus Gamification, on a real persisted backend.</w:t>
      </w:r>
    </w:p>
    <w:p>
      <w:pPr>
        <w:pStyle w:val="ListParagraph"/>
        <w:numPr>
          <w:ilvl w:val="0"/>
          <w:numId w:val="2"/>
        </w:numPr>
        <w:spacing w:after="60"/>
      </w:pPr>
      <w:r>
        <w:t xml:space="preserve">Prioritize a believable data flow (operations → carbon/participation data → scores → dashboard) over exhaustive CRUD coverage.</w:t>
      </w:r>
    </w:p>
    <w:p>
      <w:pPr>
        <w:pStyle w:val="ListParagraph"/>
        <w:numPr>
          <w:ilvl w:val="0"/>
          <w:numId w:val="2"/>
        </w:numPr>
        <w:spacing w:after="60"/>
      </w:pPr>
      <w:r>
        <w:t xml:space="preserve">Ship a visually convincing dashboard, leaderboard, and challenge experience — these are what judges remember.</w:t>
      </w:r>
    </w:p>
    <w:p>
      <w:pPr>
        <w:pStyle w:val="Heading2"/>
        <w:spacing w:after="150" w:before="300"/>
      </w:pPr>
      <w:r>
        <w:rPr>
          <w:b/>
          <w:bCs/>
          <w:color w:val="1A1A1A"/>
        </w:rPr>
        <w:t xml:space="preserve">1.4 Non-Goals (Out of Scope for the 8-Hour Build)</w:t>
      </w:r>
    </w:p>
    <w:p>
      <w:pPr>
        <w:pStyle w:val="ListParagraph"/>
        <w:numPr>
          <w:ilvl w:val="0"/>
          <w:numId w:val="2"/>
        </w:numPr>
        <w:spacing w:after="60"/>
      </w:pPr>
      <w:r>
        <w:t xml:space="preserve">Multi-tenant / multi-organization support.</w:t>
      </w:r>
    </w:p>
    <w:p>
      <w:pPr>
        <w:pStyle w:val="ListParagraph"/>
        <w:numPr>
          <w:ilvl w:val="0"/>
          <w:numId w:val="2"/>
        </w:numPr>
        <w:spacing w:after="60"/>
      </w:pPr>
      <w:r>
        <w:t xml:space="preserve">Complex role-based permission granularity beyond Admin / Employee.</w:t>
      </w:r>
    </w:p>
    <w:p>
      <w:pPr>
        <w:pStyle w:val="ListParagraph"/>
        <w:numPr>
          <w:ilvl w:val="0"/>
          <w:numId w:val="2"/>
        </w:numPr>
        <w:spacing w:after="60"/>
      </w:pPr>
      <w:r>
        <w:t xml:space="preserve">Real integrations with external ERP, accounting, or HR systems (data will be entered/seeded directly).</w:t>
      </w:r>
    </w:p>
    <w:p>
      <w:pPr>
        <w:pStyle w:val="ListParagraph"/>
        <w:numPr>
          <w:ilvl w:val="0"/>
          <w:numId w:val="2"/>
        </w:numPr>
        <w:spacing w:after="60"/>
      </w:pPr>
      <w:r>
        <w:t xml:space="preserve">Mobile app (web responsive only, stretch goal).</w:t>
      </w:r>
    </w:p>
    <w:p>
      <w:pPr>
        <w:pStyle w:val="ListParagraph"/>
        <w:numPr>
          <w:ilvl w:val="0"/>
          <w:numId w:val="2"/>
        </w:numPr>
        <w:spacing w:after="60"/>
      </w:pPr>
      <w:r>
        <w:t xml:space="preserve">Advanced PDF report styling (CSV/basic PDF export is sufficient).</w:t>
      </w:r>
    </w:p>
    <w:p>
      <w:pPr>
        <w:pStyle w:val="Heading1"/>
        <w:spacing w:after="200" w:before="400"/>
      </w:pPr>
      <w:r>
        <w:rPr>
          <w:b/>
          <w:bCs/>
          <w:color w:val="1F6F4A"/>
        </w:rPr>
        <w:t xml:space="preserve">2. Users &amp; Roles</w:t>
      </w:r>
    </w:p>
    <w:p>
      <w:pPr>
        <w:spacing w:after="120"/>
      </w:pPr>
      <w:r>
        <w:t xml:space="preserve">The platform supports two primary roles for the hackathon build. A third (Manager) is listed as a stretch/optional role if time allows.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4800"/>
      </w:tblGrid>
      <w:tr>
        <w:trPr>
          <w:tblHeader/>
        </w:trPr>
        <w:tc>
          <w:tcPr>
            <w:tcW w:type="dxa" w:w="2400"/>
            <w:shd w:fill="1F6F4A" w:val="clear"/>
            <w:tcMar>
              <w:top w:type="dxa" w:w="80"/>
              <w:left w:type="dxa" w:w="100"/>
              <w:bottom w:type="dxa" w:w="80"/>
              <w:right w:type="dxa" w:w="100"/>
            </w:tcMar>
          </w:tcPr>
          <w:p>
            <w:r>
              <w:rPr>
                <w:b/>
                <w:bCs/>
                <w:color w:val="FFFFFF"/>
              </w:rPr>
              <w:t xml:space="preserve">Role</w:t>
            </w:r>
          </w:p>
        </w:tc>
        <w:tc>
          <w:tcPr>
            <w:tcW w:type="dxa" w:w="4800"/>
            <w:shd w:fill="1F6F4A" w:val="clear"/>
            <w:tcMar>
              <w:top w:type="dxa" w:w="80"/>
              <w:left w:type="dxa" w:w="100"/>
              <w:bottom w:type="dxa" w:w="80"/>
              <w:right w:type="dxa" w:w="100"/>
            </w:tcMar>
          </w:tcPr>
          <w:p>
            <w:r>
              <w:rPr>
                <w:b/>
                <w:bCs/>
                <w:color w:val="FFFFFF"/>
              </w:rPr>
              <w:t xml:space="preserve">Description</w:t>
            </w:r>
          </w:p>
        </w:tc>
        <w:tc>
          <w:tcPr>
            <w:tcW w:type="dxa" w:w="4800"/>
            <w:shd w:fill="1F6F4A" w:val="clear"/>
            <w:tcMar>
              <w:top w:type="dxa" w:w="80"/>
              <w:left w:type="dxa" w:w="100"/>
              <w:bottom w:type="dxa" w:w="80"/>
              <w:right w:type="dxa" w:w="100"/>
            </w:tcMar>
          </w:tcPr>
          <w:p>
            <w:r>
              <w:rPr>
                <w:b/>
                <w:bCs/>
                <w:color w:val="FFFFFF"/>
              </w:rPr>
              <w:t xml:space="preserve">Key Permissions</w:t>
            </w:r>
          </w:p>
        </w:tc>
      </w:tr>
      <w:tr>
        <w:tc>
          <w:tcPr>
            <w:tcW w:type="dxa" w:w="2400"/>
            <w:tcMar>
              <w:top w:type="dxa" w:w="80"/>
              <w:left w:type="dxa" w:w="100"/>
              <w:bottom w:type="dxa" w:w="80"/>
              <w:right w:type="dxa" w:w="100"/>
            </w:tcMar>
          </w:tcPr>
          <w:p>
            <w:r>
              <w:rPr>
                <w:b w:val="false"/>
                <w:bCs w:val="false"/>
                <w:color w:val="1A1A1A"/>
              </w:rPr>
              <w:t xml:space="preserve">Admin</w:t>
            </w:r>
          </w:p>
        </w:tc>
        <w:tc>
          <w:tcPr>
            <w:tcW w:type="dxa" w:w="4800"/>
            <w:tcMar>
              <w:top w:type="dxa" w:w="80"/>
              <w:left w:type="dxa" w:w="100"/>
              <w:bottom w:type="dxa" w:w="80"/>
              <w:right w:type="dxa" w:w="100"/>
            </w:tcMar>
          </w:tcPr>
          <w:p>
            <w:r>
              <w:rPr>
                <w:b w:val="false"/>
                <w:bCs w:val="false"/>
                <w:color w:val="1A1A1A"/>
              </w:rPr>
              <w:t xml:space="preserve">Manages master data, configuration, and org-wide oversight. Typically HR/Sustainability/Compliance lead.</w:t>
            </w:r>
          </w:p>
        </w:tc>
        <w:tc>
          <w:tcPr>
            <w:tcW w:type="dxa" w:w="4800"/>
            <w:tcMar>
              <w:top w:type="dxa" w:w="80"/>
              <w:left w:type="dxa" w:w="100"/>
              <w:bottom w:type="dxa" w:w="80"/>
              <w:right w:type="dxa" w:w="100"/>
            </w:tcMar>
          </w:tcPr>
          <w:p>
            <w:r>
              <w:rPr>
                <w:b w:val="false"/>
                <w:bCs w:val="false"/>
                <w:color w:val="1A1A1A"/>
              </w:rPr>
              <w:t xml:space="preserve">Full CRUD on Departments, Categories, Emission Factors, Policies, Challenges, Rewards, Badges. Approve/reject CSR &amp; Challenge submissions. View all reports &amp; dashboards. Manage Settings (toggles, weightings, notifications).</w:t>
            </w:r>
          </w:p>
        </w:tc>
      </w:tr>
      <w:tr>
        <w:tc>
          <w:tcPr>
            <w:tcW w:type="dxa" w:w="2400"/>
            <w:shd w:fill="EAF3EE" w:val="clear"/>
            <w:tcMar>
              <w:top w:type="dxa" w:w="80"/>
              <w:left w:type="dxa" w:w="100"/>
              <w:bottom w:type="dxa" w:w="80"/>
              <w:right w:type="dxa" w:w="100"/>
            </w:tcMar>
          </w:tcPr>
          <w:p>
            <w:r>
              <w:rPr>
                <w:b w:val="false"/>
                <w:bCs w:val="false"/>
                <w:color w:val="1A1A1A"/>
              </w:rPr>
              <w:t xml:space="preserve">Employee</w:t>
            </w:r>
          </w:p>
        </w:tc>
        <w:tc>
          <w:tcPr>
            <w:tcW w:type="dxa" w:w="4800"/>
            <w:shd w:fill="EAF3EE" w:val="clear"/>
            <w:tcMar>
              <w:top w:type="dxa" w:w="80"/>
              <w:left w:type="dxa" w:w="100"/>
              <w:bottom w:type="dxa" w:w="80"/>
              <w:right w:type="dxa" w:w="100"/>
            </w:tcMar>
          </w:tcPr>
          <w:p>
            <w:r>
              <w:rPr>
                <w:b w:val="false"/>
                <w:bCs w:val="false"/>
                <w:color w:val="1A1A1A"/>
              </w:rPr>
              <w:t xml:space="preserve">End user who participates in ESG activities and challenges.</w:t>
            </w:r>
          </w:p>
        </w:tc>
        <w:tc>
          <w:tcPr>
            <w:tcW w:type="dxa" w:w="4800"/>
            <w:shd w:fill="EAF3EE" w:val="clear"/>
            <w:tcMar>
              <w:top w:type="dxa" w:w="80"/>
              <w:left w:type="dxa" w:w="100"/>
              <w:bottom w:type="dxa" w:w="80"/>
              <w:right w:type="dxa" w:w="100"/>
            </w:tcMar>
          </w:tcPr>
          <w:p>
            <w:r>
              <w:rPr>
                <w:b w:val="false"/>
                <w:bCs w:val="false"/>
                <w:color w:val="1A1A1A"/>
              </w:rPr>
              <w:t xml:space="preserve">View personal dashboard, XP, badges. Join Challenges &amp; CSR Activities, submit proof/evidence. Acknowledge policies. Redeem Rewards. View Leaderboard.</w:t>
            </w:r>
          </w:p>
        </w:tc>
      </w:tr>
      <w:tr>
        <w:tc>
          <w:tcPr>
            <w:tcW w:type="dxa" w:w="2400"/>
            <w:tcMar>
              <w:top w:type="dxa" w:w="80"/>
              <w:left w:type="dxa" w:w="100"/>
              <w:bottom w:type="dxa" w:w="80"/>
              <w:right w:type="dxa" w:w="100"/>
            </w:tcMar>
          </w:tcPr>
          <w:p>
            <w:r>
              <w:rPr>
                <w:b w:val="false"/>
                <w:bCs w:val="false"/>
                <w:color w:val="1A1A1A"/>
              </w:rPr>
              <w:t xml:space="preserve">Manager (optional/stretch)</w:t>
            </w:r>
          </w:p>
        </w:tc>
        <w:tc>
          <w:tcPr>
            <w:tcW w:type="dxa" w:w="4800"/>
            <w:tcMar>
              <w:top w:type="dxa" w:w="80"/>
              <w:left w:type="dxa" w:w="100"/>
              <w:bottom w:type="dxa" w:w="80"/>
              <w:right w:type="dxa" w:w="100"/>
            </w:tcMar>
          </w:tcPr>
          <w:p>
            <w:r>
              <w:rPr>
                <w:b w:val="false"/>
                <w:bCs w:val="false"/>
                <w:color w:val="1A1A1A"/>
              </w:rPr>
              <w:t xml:space="preserve">Department-level oversight; middle layer between Admin and Employee.</w:t>
            </w:r>
          </w:p>
        </w:tc>
        <w:tc>
          <w:tcPr>
            <w:tcW w:type="dxa" w:w="4800"/>
            <w:tcMar>
              <w:top w:type="dxa" w:w="80"/>
              <w:left w:type="dxa" w:w="100"/>
              <w:bottom w:type="dxa" w:w="80"/>
              <w:right w:type="dxa" w:w="100"/>
            </w:tcMar>
          </w:tcPr>
          <w:p>
            <w:r>
              <w:rPr>
                <w:b w:val="false"/>
                <w:bCs w:val="false"/>
                <w:color w:val="1A1A1A"/>
              </w:rPr>
              <w:t xml:space="preserve">View department-level scores &amp; reports. Approve CSR/Challenge submissions for their department only. Cannot edit master configuration.</w:t>
            </w:r>
          </w:p>
        </w:tc>
      </w:tr>
    </w:tbl>
    <w:p>
      <w:pPr>
        <w:spacing w:after="120"/>
      </w:pPr>
      <w:r>
        <w:t xml:space="preserve"/>
      </w:r>
    </w:p>
    <w:p>
      <w:pPr>
        <w:pStyle w:val="Heading2"/>
        <w:spacing w:after="150" w:before="300"/>
      </w:pPr>
      <w:r>
        <w:rPr>
          <w:b/>
          <w:bCs/>
          <w:color w:val="1A1A1A"/>
        </w:rPr>
        <w:t xml:space="preserve">2.1 Auth Model</w:t>
      </w:r>
    </w:p>
    <w:p>
      <w:pPr>
        <w:pStyle w:val="ListParagraph"/>
        <w:numPr>
          <w:ilvl w:val="0"/>
          <w:numId w:val="2"/>
        </w:numPr>
        <w:spacing w:after="60"/>
      </w:pPr>
      <w:r>
        <w:t xml:space="preserve">JWT-based authentication.</w:t>
      </w:r>
    </w:p>
    <w:p>
      <w:pPr>
        <w:pStyle w:val="ListParagraph"/>
        <w:numPr>
          <w:ilvl w:val="0"/>
          <w:numId w:val="2"/>
        </w:numPr>
        <w:spacing w:after="60"/>
      </w:pPr>
      <w:r>
        <w:t xml:space="preserve">Single login flow; role determined by user record (role field: ADMIN / EMPLOYEE / MANAGER).</w:t>
      </w:r>
    </w:p>
    <w:p>
      <w:pPr>
        <w:pStyle w:val="ListParagraph"/>
        <w:numPr>
          <w:ilvl w:val="0"/>
          <w:numId w:val="2"/>
        </w:numPr>
        <w:spacing w:after="60"/>
      </w:pPr>
      <w:r>
        <w:t xml:space="preserve">Role-gated routes on both frontend (route guards) and backend (middleware).</w:t>
      </w:r>
    </w:p>
    <w:p>
      <w:pPr>
        <w:pStyle w:val="Heading1"/>
        <w:spacing w:after="200" w:before="400"/>
      </w:pPr>
      <w:r>
        <w:rPr>
          <w:b/>
          <w:bCs/>
          <w:color w:val="1F6F4A"/>
        </w:rPr>
        <w:t xml:space="preserve">3. Core Modules &amp; Features</w:t>
      </w:r>
    </w:p>
    <w:p>
      <w:pPr>
        <w:pStyle w:val="Heading2"/>
        <w:spacing w:after="150" w:before="300"/>
      </w:pPr>
      <w:r>
        <w:rPr>
          <w:b/>
          <w:bCs/>
          <w:color w:val="1A1A1A"/>
        </w:rPr>
        <w:t xml:space="preserve">3.1 Environmental</w:t>
      </w:r>
    </w:p>
    <w:p>
      <w:pPr>
        <w:pStyle w:val="ListParagraph"/>
        <w:numPr>
          <w:ilvl w:val="0"/>
          <w:numId w:val="2"/>
        </w:numPr>
        <w:spacing w:after="60"/>
      </w:pPr>
      <w:r>
        <w:t xml:space="preserve">Configure Emission Factors (Admin) — reference values used to convert operational activity into CO2e.</w:t>
      </w:r>
    </w:p>
    <w:p>
      <w:pPr>
        <w:pStyle w:val="ListParagraph"/>
        <w:numPr>
          <w:ilvl w:val="0"/>
          <w:numId w:val="2"/>
        </w:numPr>
        <w:spacing w:after="60"/>
      </w:pPr>
      <w:r>
        <w:t xml:space="preserve">Carbon Transactions — record of emissions, linked to source (Purchase / Manufacturing / Expense / Fleet).</w:t>
      </w:r>
    </w:p>
    <w:p>
      <w:pPr>
        <w:pStyle w:val="ListParagraph"/>
        <w:numPr>
          <w:ilvl w:val="0"/>
          <w:numId w:val="2"/>
        </w:numPr>
        <w:spacing w:after="60"/>
      </w:pPr>
      <w:r>
        <w:t xml:space="preserve">Auto Emission Calculation (toggle) — when enabled, transactions auto-calculate from linked operational records × Emission Factor.</w:t>
      </w:r>
    </w:p>
    <w:p>
      <w:pPr>
        <w:pStyle w:val="ListParagraph"/>
        <w:numPr>
          <w:ilvl w:val="0"/>
          <w:numId w:val="2"/>
        </w:numPr>
        <w:spacing w:after="60"/>
      </w:pPr>
      <w:r>
        <w:t xml:space="preserve">Department Carbon Tracking — aggregated emissions per department.</w:t>
      </w:r>
    </w:p>
    <w:p>
      <w:pPr>
        <w:pStyle w:val="ListParagraph"/>
        <w:numPr>
          <w:ilvl w:val="0"/>
          <w:numId w:val="2"/>
        </w:numPr>
        <w:spacing w:after="60"/>
      </w:pPr>
      <w:r>
        <w:t xml:space="preserve">Sustainability Goals — targets set per department/org, tracked against actuals.</w:t>
      </w:r>
    </w:p>
    <w:p>
      <w:pPr>
        <w:pStyle w:val="ListParagraph"/>
        <w:numPr>
          <w:ilvl w:val="0"/>
          <w:numId w:val="2"/>
        </w:numPr>
        <w:spacing w:after="60"/>
      </w:pPr>
      <w:r>
        <w:t xml:space="preserve">Environmental Dashboard — emissions over time, by department, vs. goals.</w:t>
      </w:r>
    </w:p>
    <w:p>
      <w:pPr>
        <w:pStyle w:val="Heading2"/>
        <w:spacing w:after="150" w:before="300"/>
      </w:pPr>
      <w:r>
        <w:rPr>
          <w:b/>
          <w:bCs/>
          <w:color w:val="1A1A1A"/>
        </w:rPr>
        <w:t xml:space="preserve">3.2 Social</w:t>
      </w:r>
    </w:p>
    <w:p>
      <w:pPr>
        <w:pStyle w:val="ListParagraph"/>
        <w:numPr>
          <w:ilvl w:val="0"/>
          <w:numId w:val="2"/>
        </w:numPr>
        <w:spacing w:after="60"/>
      </w:pPr>
      <w:r>
        <w:t xml:space="preserve">CSR Activities — company-organized social initiatives (Admin creates; Employees join).</w:t>
      </w:r>
    </w:p>
    <w:p>
      <w:pPr>
        <w:pStyle w:val="ListParagraph"/>
        <w:numPr>
          <w:ilvl w:val="0"/>
          <w:numId w:val="2"/>
        </w:numPr>
        <w:spacing w:after="60"/>
      </w:pPr>
      <w:r>
        <w:t xml:space="preserve">Employee Participation — tracks involvement, proof upload, approval status, points earned.</w:t>
      </w:r>
    </w:p>
    <w:p>
      <w:pPr>
        <w:pStyle w:val="ListParagraph"/>
        <w:numPr>
          <w:ilvl w:val="0"/>
          <w:numId w:val="2"/>
        </w:numPr>
        <w:spacing w:after="60"/>
      </w:pPr>
      <w:r>
        <w:t xml:space="preserve">Evidence Requirement (toggle) — when enabled, participation cannot be Approved without an attached proof file.</w:t>
      </w:r>
    </w:p>
    <w:p>
      <w:pPr>
        <w:pStyle w:val="ListParagraph"/>
        <w:numPr>
          <w:ilvl w:val="0"/>
          <w:numId w:val="2"/>
        </w:numPr>
        <w:spacing w:after="60"/>
      </w:pPr>
      <w:r>
        <w:t xml:space="preserve">Diversity Metrics — aggregate demographic/engagement stats per department.</w:t>
      </w:r>
    </w:p>
    <w:p>
      <w:pPr>
        <w:pStyle w:val="ListParagraph"/>
        <w:numPr>
          <w:ilvl w:val="0"/>
          <w:numId w:val="2"/>
        </w:numPr>
        <w:spacing w:after="60"/>
      </w:pPr>
      <w:r>
        <w:t xml:space="preserve">Training Completion — tracks completion of ESG-related training per employee.</w:t>
      </w:r>
    </w:p>
    <w:p>
      <w:pPr>
        <w:pStyle w:val="Heading2"/>
        <w:spacing w:after="150" w:before="300"/>
      </w:pPr>
      <w:r>
        <w:rPr>
          <w:b/>
          <w:bCs/>
          <w:color w:val="1A1A1A"/>
        </w:rPr>
        <w:t xml:space="preserve">3.3 Governance</w:t>
      </w:r>
    </w:p>
    <w:p>
      <w:pPr>
        <w:pStyle w:val="ListParagraph"/>
        <w:numPr>
          <w:ilvl w:val="0"/>
          <w:numId w:val="2"/>
        </w:numPr>
        <w:spacing w:after="60"/>
      </w:pPr>
      <w:r>
        <w:t xml:space="preserve">ESG Policies — Admin-authored governance/compliance policies.</w:t>
      </w:r>
    </w:p>
    <w:p>
      <w:pPr>
        <w:pStyle w:val="ListParagraph"/>
        <w:numPr>
          <w:ilvl w:val="0"/>
          <w:numId w:val="2"/>
        </w:numPr>
        <w:spacing w:after="60"/>
      </w:pPr>
      <w:r>
        <w:t xml:space="preserve">Policy Acknowledgement — employees formally accept policies; reminders sent if pending.</w:t>
      </w:r>
    </w:p>
    <w:p>
      <w:pPr>
        <w:pStyle w:val="ListParagraph"/>
        <w:numPr>
          <w:ilvl w:val="0"/>
          <w:numId w:val="2"/>
        </w:numPr>
        <w:spacing w:after="60"/>
      </w:pPr>
      <w:r>
        <w:t xml:space="preserve">Audits — scheduled/completed governance audits.</w:t>
      </w:r>
    </w:p>
    <w:p>
      <w:pPr>
        <w:pStyle w:val="ListParagraph"/>
        <w:numPr>
          <w:ilvl w:val="0"/>
          <w:numId w:val="2"/>
        </w:numPr>
        <w:spacing w:after="60"/>
      </w:pPr>
      <w:r>
        <w:t xml:space="preserve">Compliance Issues — violations logged against an Audit; require Owner + Due Date.</w:t>
      </w:r>
    </w:p>
    <w:p>
      <w:pPr>
        <w:pStyle w:val="ListParagraph"/>
        <w:numPr>
          <w:ilvl w:val="0"/>
          <w:numId w:val="2"/>
        </w:numPr>
        <w:spacing w:after="60"/>
      </w:pPr>
      <w:r>
        <w:t xml:space="preserve">Overdue Flagging — issues still Open past their Due Date are automatically flagged and trigger a notification.</w:t>
      </w:r>
    </w:p>
    <w:p>
      <w:pPr>
        <w:pStyle w:val="Heading2"/>
        <w:spacing w:after="150" w:before="300"/>
      </w:pPr>
      <w:r>
        <w:rPr>
          <w:b/>
          <w:bCs/>
          <w:color w:val="1A1A1A"/>
        </w:rPr>
        <w:t xml:space="preserve">3.4 Gamification</w:t>
      </w:r>
    </w:p>
    <w:p>
      <w:pPr>
        <w:pStyle w:val="ListParagraph"/>
        <w:numPr>
          <w:ilvl w:val="0"/>
          <w:numId w:val="2"/>
        </w:numPr>
        <w:spacing w:after="60"/>
      </w:pPr>
      <w:r>
        <w:t xml:space="preserve">Challenges — full lifecycle: Draft → Active → Under Review → Completed (or Archived at any point).</w:t>
      </w:r>
    </w:p>
    <w:p>
      <w:pPr>
        <w:pStyle w:val="ListParagraph"/>
        <w:numPr>
          <w:ilvl w:val="0"/>
          <w:numId w:val="2"/>
        </w:numPr>
        <w:spacing w:after="60"/>
      </w:pPr>
      <w:r>
        <w:t xml:space="preserve">XP — awarded to employees on approved participation/challenge completion.</w:t>
      </w:r>
    </w:p>
    <w:p>
      <w:pPr>
        <w:pStyle w:val="ListParagraph"/>
        <w:numPr>
          <w:ilvl w:val="0"/>
          <w:numId w:val="2"/>
        </w:numPr>
        <w:spacing w:after="60"/>
      </w:pPr>
      <w:r>
        <w:t xml:space="preserve">Badges — auto-awarded (toggle) the moment an employee's XP or completed-challenge count satisfies a Badge's Unlock Rule.</w:t>
      </w:r>
    </w:p>
    <w:p>
      <w:pPr>
        <w:pStyle w:val="ListParagraph"/>
        <w:numPr>
          <w:ilvl w:val="0"/>
          <w:numId w:val="2"/>
        </w:numPr>
        <w:spacing w:after="60"/>
      </w:pPr>
      <w:r>
        <w:t xml:space="preserve">Rewards — catalog of redeemable incentives; redemption deducts Points from balance, subject to stock availability.</w:t>
      </w:r>
    </w:p>
    <w:p>
      <w:pPr>
        <w:pStyle w:val="ListParagraph"/>
        <w:numPr>
          <w:ilvl w:val="0"/>
          <w:numId w:val="2"/>
        </w:numPr>
        <w:spacing w:after="60"/>
      </w:pPr>
      <w:r>
        <w:t xml:space="preserve">Leaderboard — ranks employees (and optionally departments) by XP.</w:t>
      </w:r>
    </w:p>
    <w:p>
      <w:pPr>
        <w:pStyle w:val="Heading2"/>
        <w:spacing w:after="150" w:before="300"/>
      </w:pPr>
      <w:r>
        <w:rPr>
          <w:b/>
          <w:bCs/>
          <w:color w:val="1A1A1A"/>
        </w:rPr>
        <w:t xml:space="preserve">3.5 Scoring Engine</w:t>
      </w:r>
    </w:p>
    <w:p>
      <w:pPr>
        <w:spacing w:after="120"/>
      </w:pPr>
      <w:r>
        <w:t xml:space="preserve">Scores roll up as follows:</w:t>
      </w:r>
    </w:p>
    <w:p>
      <w:pPr>
        <w:pStyle w:val="ListParagraph"/>
        <w:numPr>
          <w:ilvl w:val="0"/>
          <w:numId w:val="2"/>
        </w:numPr>
        <w:spacing w:after="60"/>
      </w:pPr>
      <w:r>
        <w:t xml:space="preserve">Environmental Score, Social Score, Governance Score — calculated per Department from underlying transactional data.</w:t>
      </w:r>
    </w:p>
    <w:p>
      <w:pPr>
        <w:pStyle w:val="ListParagraph"/>
        <w:numPr>
          <w:ilvl w:val="0"/>
          <w:numId w:val="2"/>
        </w:numPr>
        <w:spacing w:after="60"/>
      </w:pPr>
      <w:r>
        <w:t xml:space="preserve">Department Total Score — combination of the three pillar scores for that department.</w:t>
      </w:r>
    </w:p>
    <w:p>
      <w:pPr>
        <w:pStyle w:val="ListParagraph"/>
        <w:numPr>
          <w:ilvl w:val="0"/>
          <w:numId w:val="2"/>
        </w:numPr>
        <w:spacing w:after="60"/>
      </w:pPr>
      <w:r>
        <w:t xml:space="preserve">Overall ESG Score — weighted average of all Department Total Scores. Default weighting: Environmental 40% / Social 30% / Governance 30%, configurable per organization via Settings.</w:t>
      </w:r>
    </w:p>
    <w:p>
      <w:pPr>
        <w:pStyle w:val="Heading2"/>
        <w:spacing w:after="150" w:before="300"/>
      </w:pPr>
      <w:r>
        <w:rPr>
          <w:b/>
          <w:bCs/>
          <w:color w:val="1A1A1A"/>
        </w:rPr>
        <w:t xml:space="preserve">3.6 Reports</w:t>
      </w:r>
    </w:p>
    <w:p>
      <w:pPr>
        <w:pStyle w:val="ListParagraph"/>
        <w:numPr>
          <w:ilvl w:val="0"/>
          <w:numId w:val="2"/>
        </w:numPr>
        <w:spacing w:after="60"/>
      </w:pPr>
      <w:r>
        <w:t xml:space="preserve">Environmental Report, Social Report, Governance Report, ESG Summary Report — pre-built exports.</w:t>
      </w:r>
    </w:p>
    <w:p>
      <w:pPr>
        <w:pStyle w:val="ListParagraph"/>
        <w:numPr>
          <w:ilvl w:val="0"/>
          <w:numId w:val="2"/>
        </w:numPr>
        <w:spacing w:after="60"/>
      </w:pPr>
      <w:r>
        <w:t xml:space="preserve">Custom Report Builder — combine filters and export (PDF / Excel / CSV).</w:t>
      </w:r>
    </w:p>
    <w:p>
      <w:pPr>
        <w:pStyle w:val="ListParagraph"/>
        <w:numPr>
          <w:ilvl w:val="0"/>
          <w:numId w:val="2"/>
        </w:numPr>
        <w:spacing w:after="60"/>
      </w:pPr>
      <w:r>
        <w:t xml:space="preserve">Supported filters: Department, Date Range, Module, Employee, Challenge, ESG Category.</w:t>
      </w:r>
    </w:p>
    <w:p>
      <w:pPr>
        <w:pStyle w:val="Heading2"/>
        <w:spacing w:after="150" w:before="300"/>
      </w:pPr>
      <w:r>
        <w:rPr>
          <w:b/>
          <w:bCs/>
          <w:color w:val="1A1A1A"/>
        </w:rPr>
        <w:t xml:space="preserve">3.7 Settings &amp; Administration</w:t>
      </w:r>
    </w:p>
    <w:p>
      <w:pPr>
        <w:pStyle w:val="ListParagraph"/>
        <w:numPr>
          <w:ilvl w:val="0"/>
          <w:numId w:val="2"/>
        </w:numPr>
        <w:spacing w:after="60"/>
      </w:pPr>
      <w:r>
        <w:t xml:space="preserve">Department management, Category management.</w:t>
      </w:r>
    </w:p>
    <w:p>
      <w:pPr>
        <w:pStyle w:val="ListParagraph"/>
        <w:numPr>
          <w:ilvl w:val="0"/>
          <w:numId w:val="2"/>
        </w:numPr>
        <w:spacing w:after="60"/>
      </w:pPr>
      <w:r>
        <w:t xml:space="preserve">ESG Configuration — pillar weightings, feature toggles (Auto Emission Calculation, Evidence Requirement, Badge Auto-Award).</w:t>
      </w:r>
    </w:p>
    <w:p>
      <w:pPr>
        <w:pStyle w:val="ListParagraph"/>
        <w:numPr>
          <w:ilvl w:val="0"/>
          <w:numId w:val="2"/>
        </w:numPr>
        <w:spacing w:after="60"/>
      </w:pPr>
      <w:r>
        <w:t xml:space="preserve">Notification Settings — enable/disable channels and event types.</w:t>
      </w:r>
    </w:p>
    <w:p>
      <w:pPr>
        <w:pStyle w:val="Heading1"/>
        <w:spacing w:after="200" w:before="400"/>
      </w:pPr>
      <w:r>
        <w:rPr>
          <w:b/>
          <w:bCs/>
          <w:color w:val="1F6F4A"/>
        </w:rPr>
        <w:t xml:space="preserve">4. Core Business Rules (Mandatory)</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600"/>
        <w:gridCol w:w="8400"/>
      </w:tblGrid>
      <w:tr>
        <w:trPr>
          <w:tblHeader/>
        </w:trPr>
        <w:tc>
          <w:tcPr>
            <w:tcW w:type="dxa" w:w="3600"/>
            <w:shd w:fill="1F6F4A" w:val="clear"/>
            <w:tcMar>
              <w:top w:type="dxa" w:w="80"/>
              <w:left w:type="dxa" w:w="100"/>
              <w:bottom w:type="dxa" w:w="80"/>
              <w:right w:type="dxa" w:w="100"/>
            </w:tcMar>
          </w:tcPr>
          <w:p>
            <w:r>
              <w:rPr>
                <w:b/>
                <w:bCs/>
                <w:color w:val="FFFFFF"/>
              </w:rPr>
              <w:t xml:space="preserve">Rule</w:t>
            </w:r>
          </w:p>
        </w:tc>
        <w:tc>
          <w:tcPr>
            <w:tcW w:type="dxa" w:w="8400"/>
            <w:shd w:fill="1F6F4A" w:val="clear"/>
            <w:tcMar>
              <w:top w:type="dxa" w:w="80"/>
              <w:left w:type="dxa" w:w="100"/>
              <w:bottom w:type="dxa" w:w="80"/>
              <w:right w:type="dxa" w:w="100"/>
            </w:tcMar>
          </w:tcPr>
          <w:p>
            <w:r>
              <w:rPr>
                <w:b/>
                <w:bCs/>
                <w:color w:val="FFFFFF"/>
              </w:rPr>
              <w:t xml:space="preserve">Behavior</w:t>
            </w:r>
          </w:p>
        </w:tc>
      </w:tr>
      <w:tr>
        <w:tc>
          <w:tcPr>
            <w:tcW w:type="dxa" w:w="3600"/>
            <w:tcMar>
              <w:top w:type="dxa" w:w="80"/>
              <w:left w:type="dxa" w:w="100"/>
              <w:bottom w:type="dxa" w:w="80"/>
              <w:right w:type="dxa" w:w="100"/>
            </w:tcMar>
          </w:tcPr>
          <w:p>
            <w:r>
              <w:rPr>
                <w:b w:val="false"/>
                <w:bCs w:val="false"/>
                <w:color w:val="1A1A1A"/>
              </w:rPr>
              <w:t xml:space="preserve">Reward Redemption</w:t>
            </w:r>
          </w:p>
        </w:tc>
        <w:tc>
          <w:tcPr>
            <w:tcW w:type="dxa" w:w="8400"/>
            <w:tcMar>
              <w:top w:type="dxa" w:w="80"/>
              <w:left w:type="dxa" w:w="100"/>
              <w:bottom w:type="dxa" w:w="80"/>
              <w:right w:type="dxa" w:w="100"/>
            </w:tcMar>
          </w:tcPr>
          <w:p>
            <w:r>
              <w:rPr>
                <w:b w:val="false"/>
                <w:bCs w:val="false"/>
                <w:color w:val="1A1A1A"/>
              </w:rPr>
              <w:t xml:space="preserve">Employees redeem earned Points/XP for a Reward from the catalog, subject to stock availability. Redemption deducts the corresponding Points from the employee's balance.</w:t>
            </w:r>
          </w:p>
        </w:tc>
      </w:tr>
      <w:tr>
        <w:tc>
          <w:tcPr>
            <w:tcW w:type="dxa" w:w="3600"/>
            <w:shd w:fill="EAF3EE" w:val="clear"/>
            <w:tcMar>
              <w:top w:type="dxa" w:w="80"/>
              <w:left w:type="dxa" w:w="100"/>
              <w:bottom w:type="dxa" w:w="80"/>
              <w:right w:type="dxa" w:w="100"/>
            </w:tcMar>
          </w:tcPr>
          <w:p>
            <w:r>
              <w:rPr>
                <w:b w:val="false"/>
                <w:bCs w:val="false"/>
                <w:color w:val="1A1A1A"/>
              </w:rPr>
              <w:t xml:space="preserve">Notification System</w:t>
            </w:r>
          </w:p>
        </w:tc>
        <w:tc>
          <w:tcPr>
            <w:tcW w:type="dxa" w:w="8400"/>
            <w:shd w:fill="EAF3EE" w:val="clear"/>
            <w:tcMar>
              <w:top w:type="dxa" w:w="80"/>
              <w:left w:type="dxa" w:w="100"/>
              <w:bottom w:type="dxa" w:w="80"/>
              <w:right w:type="dxa" w:w="100"/>
            </w:tcMar>
          </w:tcPr>
          <w:p>
            <w:r>
              <w:rPr>
                <w:b w:val="false"/>
                <w:bCs w:val="false"/>
                <w:color w:val="1A1A1A"/>
              </w:rPr>
              <w:t xml:space="preserve">In-app and/or email notifications for at minimum: new Compliance Issue raised, CSR/Challenge approval decisions, policy acknowledgement reminders, badge unlocks. Configurable via Settings → Notification Settings.</w:t>
            </w:r>
          </w:p>
        </w:tc>
      </w:tr>
      <w:tr>
        <w:tc>
          <w:tcPr>
            <w:tcW w:type="dxa" w:w="3600"/>
            <w:tcMar>
              <w:top w:type="dxa" w:w="80"/>
              <w:left w:type="dxa" w:w="100"/>
              <w:bottom w:type="dxa" w:w="80"/>
              <w:right w:type="dxa" w:w="100"/>
            </w:tcMar>
          </w:tcPr>
          <w:p>
            <w:r>
              <w:rPr>
                <w:b w:val="false"/>
                <w:bCs w:val="false"/>
                <w:color w:val="1A1A1A"/>
              </w:rPr>
              <w:t xml:space="preserve">Auto Emission Calculation</w:t>
            </w:r>
          </w:p>
        </w:tc>
        <w:tc>
          <w:tcPr>
            <w:tcW w:type="dxa" w:w="8400"/>
            <w:tcMar>
              <w:top w:type="dxa" w:w="80"/>
              <w:left w:type="dxa" w:w="100"/>
              <w:bottom w:type="dxa" w:w="80"/>
              <w:right w:type="dxa" w:w="100"/>
            </w:tcMar>
          </w:tcPr>
          <w:p>
            <w:r>
              <w:rPr>
                <w:b w:val="false"/>
                <w:bCs w:val="false"/>
                <w:color w:val="1A1A1A"/>
              </w:rPr>
              <w:t xml:space="preserve">When enabled, Carbon Transactions are calculated automatically from linked Purchase/Manufacturing/Expense/Fleet records using the relevant Emission Factor — no manual entry required.</w:t>
            </w:r>
          </w:p>
        </w:tc>
      </w:tr>
      <w:tr>
        <w:tc>
          <w:tcPr>
            <w:tcW w:type="dxa" w:w="3600"/>
            <w:shd w:fill="EAF3EE" w:val="clear"/>
            <w:tcMar>
              <w:top w:type="dxa" w:w="80"/>
              <w:left w:type="dxa" w:w="100"/>
              <w:bottom w:type="dxa" w:w="80"/>
              <w:right w:type="dxa" w:w="100"/>
            </w:tcMar>
          </w:tcPr>
          <w:p>
            <w:r>
              <w:rPr>
                <w:b w:val="false"/>
                <w:bCs w:val="false"/>
                <w:color w:val="1A1A1A"/>
              </w:rPr>
              <w:t xml:space="preserve">Evidence Requirement</w:t>
            </w:r>
          </w:p>
        </w:tc>
        <w:tc>
          <w:tcPr>
            <w:tcW w:type="dxa" w:w="8400"/>
            <w:shd w:fill="EAF3EE" w:val="clear"/>
            <w:tcMar>
              <w:top w:type="dxa" w:w="80"/>
              <w:left w:type="dxa" w:w="100"/>
              <w:bottom w:type="dxa" w:w="80"/>
              <w:right w:type="dxa" w:w="100"/>
            </w:tcMar>
          </w:tcPr>
          <w:p>
            <w:r>
              <w:rPr>
                <w:b w:val="false"/>
                <w:bCs w:val="false"/>
                <w:color w:val="1A1A1A"/>
              </w:rPr>
              <w:t xml:space="preserve">When enabled, CSR Activity participation cannot be marked Approved without an attached proof file.</w:t>
            </w:r>
          </w:p>
        </w:tc>
      </w:tr>
      <w:tr>
        <w:tc>
          <w:tcPr>
            <w:tcW w:type="dxa" w:w="3600"/>
            <w:tcMar>
              <w:top w:type="dxa" w:w="80"/>
              <w:left w:type="dxa" w:w="100"/>
              <w:bottom w:type="dxa" w:w="80"/>
              <w:right w:type="dxa" w:w="100"/>
            </w:tcMar>
          </w:tcPr>
          <w:p>
            <w:r>
              <w:rPr>
                <w:b w:val="false"/>
                <w:bCs w:val="false"/>
                <w:color w:val="1A1A1A"/>
              </w:rPr>
              <w:t xml:space="preserve">Badge Auto-Award</w:t>
            </w:r>
          </w:p>
        </w:tc>
        <w:tc>
          <w:tcPr>
            <w:tcW w:type="dxa" w:w="8400"/>
            <w:tcMar>
              <w:top w:type="dxa" w:w="80"/>
              <w:left w:type="dxa" w:w="100"/>
              <w:bottom w:type="dxa" w:w="80"/>
              <w:right w:type="dxa" w:w="100"/>
            </w:tcMar>
          </w:tcPr>
          <w:p>
            <w:r>
              <w:rPr>
                <w:b w:val="false"/>
                <w:bCs w:val="false"/>
                <w:color w:val="1A1A1A"/>
              </w:rPr>
              <w:t xml:space="preserve">When enabled, a Badge is automatically assigned the moment an employee's XP, completed-challenge count, or other tracked metric satisfies that Badge's Unlock Rule — no manual admin action needed.</w:t>
            </w:r>
          </w:p>
        </w:tc>
      </w:tr>
      <w:tr>
        <w:tc>
          <w:tcPr>
            <w:tcW w:type="dxa" w:w="3600"/>
            <w:shd w:fill="EAF3EE" w:val="clear"/>
            <w:tcMar>
              <w:top w:type="dxa" w:w="80"/>
              <w:left w:type="dxa" w:w="100"/>
              <w:bottom w:type="dxa" w:w="80"/>
              <w:right w:type="dxa" w:w="100"/>
            </w:tcMar>
          </w:tcPr>
          <w:p>
            <w:r>
              <w:rPr>
                <w:b w:val="false"/>
                <w:bCs w:val="false"/>
                <w:color w:val="1A1A1A"/>
              </w:rPr>
              <w:t xml:space="preserve">Compliance Issue Ownership</w:t>
            </w:r>
          </w:p>
        </w:tc>
        <w:tc>
          <w:tcPr>
            <w:tcW w:type="dxa" w:w="8400"/>
            <w:shd w:fill="EAF3EE" w:val="clear"/>
            <w:tcMar>
              <w:top w:type="dxa" w:w="80"/>
              <w:left w:type="dxa" w:w="100"/>
              <w:bottom w:type="dxa" w:w="80"/>
              <w:right w:type="dxa" w:w="100"/>
            </w:tcMar>
          </w:tcPr>
          <w:p>
            <w:r>
              <w:rPr>
                <w:b w:val="false"/>
                <w:bCs w:val="false"/>
                <w:color w:val="1A1A1A"/>
              </w:rPr>
              <w:t xml:space="preserve">Every Compliance Issue must have an assigned Owner and a Due Date. Issues that pass their Due Date while still Open are flagged and feed the Notification System.</w:t>
            </w:r>
          </w:p>
        </w:tc>
      </w:tr>
    </w:tbl>
    <w:p>
      <w:pPr>
        <w:pStyle w:val="Heading1"/>
        <w:spacing w:after="200" w:before="400"/>
      </w:pPr>
      <w:r>
        <w:rPr>
          <w:b/>
          <w:bCs/>
          <w:color w:val="1F6F4A"/>
        </w:rPr>
        <w:t xml:space="preserve">5. Data Model</w:t>
      </w:r>
    </w:p>
    <w:p>
      <w:pPr>
        <w:pStyle w:val="Heading2"/>
        <w:spacing w:after="150" w:before="300"/>
      </w:pPr>
      <w:r>
        <w:rPr>
          <w:b/>
          <w:bCs/>
          <w:color w:val="1A1A1A"/>
        </w:rPr>
        <w:t xml:space="preserve">5.1 Master Data</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5000"/>
      </w:tblGrid>
      <w:tr>
        <w:trPr>
          <w:tblHeader/>
        </w:trPr>
        <w:tc>
          <w:tcPr>
            <w:tcW w:type="dxa" w:w="2600"/>
            <w:shd w:fill="1F6F4A" w:val="clear"/>
            <w:tcMar>
              <w:top w:type="dxa" w:w="80"/>
              <w:left w:type="dxa" w:w="100"/>
              <w:bottom w:type="dxa" w:w="80"/>
              <w:right w:type="dxa" w:w="100"/>
            </w:tcMar>
          </w:tcPr>
          <w:p>
            <w:r>
              <w:rPr>
                <w:b/>
                <w:bCs/>
                <w:color w:val="FFFFFF"/>
              </w:rPr>
              <w:t xml:space="preserve">Model</w:t>
            </w:r>
          </w:p>
        </w:tc>
        <w:tc>
          <w:tcPr>
            <w:tcW w:type="dxa" w:w="4600"/>
            <w:shd w:fill="1F6F4A" w:val="clear"/>
            <w:tcMar>
              <w:top w:type="dxa" w:w="80"/>
              <w:left w:type="dxa" w:w="100"/>
              <w:bottom w:type="dxa" w:w="80"/>
              <w:right w:type="dxa" w:w="100"/>
            </w:tcMar>
          </w:tcPr>
          <w:p>
            <w:r>
              <w:rPr>
                <w:b/>
                <w:bCs/>
                <w:color w:val="FFFFFF"/>
              </w:rPr>
              <w:t xml:space="preserve">Purpose</w:t>
            </w:r>
          </w:p>
        </w:tc>
        <w:tc>
          <w:tcPr>
            <w:tcW w:type="dxa" w:w="5000"/>
            <w:shd w:fill="1F6F4A" w:val="clear"/>
            <w:tcMar>
              <w:top w:type="dxa" w:w="80"/>
              <w:left w:type="dxa" w:w="100"/>
              <w:bottom w:type="dxa" w:w="80"/>
              <w:right w:type="dxa" w:w="100"/>
            </w:tcMar>
          </w:tcPr>
          <w:p>
            <w:r>
              <w:rPr>
                <w:b/>
                <w:bCs/>
                <w:color w:val="FFFFFF"/>
              </w:rPr>
              <w:t xml:space="preserve">Key Fields</w:t>
            </w:r>
          </w:p>
        </w:tc>
      </w:tr>
      <w:tr>
        <w:tc>
          <w:tcPr>
            <w:tcW w:type="dxa" w:w="2600"/>
            <w:tcMar>
              <w:top w:type="dxa" w:w="80"/>
              <w:left w:type="dxa" w:w="100"/>
              <w:bottom w:type="dxa" w:w="80"/>
              <w:right w:type="dxa" w:w="100"/>
            </w:tcMar>
          </w:tcPr>
          <w:p>
            <w:r>
              <w:rPr>
                <w:b w:val="false"/>
                <w:bCs w:val="false"/>
                <w:color w:val="1A1A1A"/>
              </w:rPr>
              <w:t xml:space="preserve">Department</w:t>
            </w:r>
          </w:p>
        </w:tc>
        <w:tc>
          <w:tcPr>
            <w:tcW w:type="dxa" w:w="4600"/>
            <w:tcMar>
              <w:top w:type="dxa" w:w="80"/>
              <w:left w:type="dxa" w:w="100"/>
              <w:bottom w:type="dxa" w:w="80"/>
              <w:right w:type="dxa" w:w="100"/>
            </w:tcMar>
          </w:tcPr>
          <w:p>
            <w:r>
              <w:rPr>
                <w:b w:val="false"/>
                <w:bCs w:val="false"/>
                <w:color w:val="1A1A1A"/>
              </w:rPr>
              <w:t xml:space="preserve">Organizational hierarchy and ESG ownership</w:t>
            </w:r>
          </w:p>
        </w:tc>
        <w:tc>
          <w:tcPr>
            <w:tcW w:type="dxa" w:w="5000"/>
            <w:tcMar>
              <w:top w:type="dxa" w:w="80"/>
              <w:left w:type="dxa" w:w="100"/>
              <w:bottom w:type="dxa" w:w="80"/>
              <w:right w:type="dxa" w:w="100"/>
            </w:tcMar>
          </w:tcPr>
          <w:p>
            <w:r>
              <w:rPr>
                <w:b w:val="false"/>
                <w:bCs w:val="false"/>
                <w:color w:val="1A1A1A"/>
              </w:rPr>
              <w:t xml:space="preserve">Name, Code, Head, Parent Department, Employee Count, Status</w:t>
            </w:r>
          </w:p>
        </w:tc>
      </w:tr>
      <w:tr>
        <w:tc>
          <w:tcPr>
            <w:tcW w:type="dxa" w:w="2600"/>
            <w:shd w:fill="EAF3EE" w:val="clear"/>
            <w:tcMar>
              <w:top w:type="dxa" w:w="80"/>
              <w:left w:type="dxa" w:w="100"/>
              <w:bottom w:type="dxa" w:w="80"/>
              <w:right w:type="dxa" w:w="100"/>
            </w:tcMar>
          </w:tcPr>
          <w:p>
            <w:r>
              <w:rPr>
                <w:b w:val="false"/>
                <w:bCs w:val="false"/>
                <w:color w:val="1A1A1A"/>
              </w:rPr>
              <w:t xml:space="preserve">Category</w:t>
            </w:r>
          </w:p>
        </w:tc>
        <w:tc>
          <w:tcPr>
            <w:tcW w:type="dxa" w:w="4600"/>
            <w:shd w:fill="EAF3EE" w:val="clear"/>
            <w:tcMar>
              <w:top w:type="dxa" w:w="80"/>
              <w:left w:type="dxa" w:w="100"/>
              <w:bottom w:type="dxa" w:w="80"/>
              <w:right w:type="dxa" w:w="100"/>
            </w:tcMar>
          </w:tcPr>
          <w:p>
            <w:r>
              <w:rPr>
                <w:b w:val="false"/>
                <w:bCs w:val="false"/>
                <w:color w:val="1A1A1A"/>
              </w:rPr>
              <w:t xml:space="preserve">Shared category values across Social &amp; Gamification modules</w:t>
            </w:r>
          </w:p>
        </w:tc>
        <w:tc>
          <w:tcPr>
            <w:tcW w:type="dxa" w:w="5000"/>
            <w:shd w:fill="EAF3EE" w:val="clear"/>
            <w:tcMar>
              <w:top w:type="dxa" w:w="80"/>
              <w:left w:type="dxa" w:w="100"/>
              <w:bottom w:type="dxa" w:w="80"/>
              <w:right w:type="dxa" w:w="100"/>
            </w:tcMar>
          </w:tcPr>
          <w:p>
            <w:r>
              <w:rPr>
                <w:b w:val="false"/>
                <w:bCs w:val="false"/>
                <w:color w:val="1A1A1A"/>
              </w:rPr>
              <w:t xml:space="preserve">Name, Type (CSR Activity / Challenge), Status</w:t>
            </w:r>
          </w:p>
        </w:tc>
      </w:tr>
      <w:tr>
        <w:tc>
          <w:tcPr>
            <w:tcW w:type="dxa" w:w="2600"/>
            <w:tcMar>
              <w:top w:type="dxa" w:w="80"/>
              <w:left w:type="dxa" w:w="100"/>
              <w:bottom w:type="dxa" w:w="80"/>
              <w:right w:type="dxa" w:w="100"/>
            </w:tcMar>
          </w:tcPr>
          <w:p>
            <w:r>
              <w:rPr>
                <w:b w:val="false"/>
                <w:bCs w:val="false"/>
                <w:color w:val="1A1A1A"/>
              </w:rPr>
              <w:t xml:space="preserve">Emission Factor</w:t>
            </w:r>
          </w:p>
        </w:tc>
        <w:tc>
          <w:tcPr>
            <w:tcW w:type="dxa" w:w="4600"/>
            <w:tcMar>
              <w:top w:type="dxa" w:w="80"/>
              <w:left w:type="dxa" w:w="100"/>
              <w:bottom w:type="dxa" w:w="80"/>
              <w:right w:type="dxa" w:w="100"/>
            </w:tcMar>
          </w:tcPr>
          <w:p>
            <w:r>
              <w:rPr>
                <w:b w:val="false"/>
                <w:bCs w:val="false"/>
                <w:color w:val="1A1A1A"/>
              </w:rPr>
              <w:t xml:space="preserve">Carbon values used during calculations</w:t>
            </w:r>
          </w:p>
        </w:tc>
        <w:tc>
          <w:tcPr>
            <w:tcW w:type="dxa" w:w="5000"/>
            <w:tcMar>
              <w:top w:type="dxa" w:w="80"/>
              <w:left w:type="dxa" w:w="100"/>
              <w:bottom w:type="dxa" w:w="80"/>
              <w:right w:type="dxa" w:w="100"/>
            </w:tcMar>
          </w:tcPr>
          <w:p>
            <w:r>
              <w:rPr>
                <w:b w:val="false"/>
                <w:bCs w:val="false"/>
                <w:color w:val="1A1A1A"/>
              </w:rPr>
              <w:t xml:space="preserve">Activity Type, Unit, CO2e Factor</w:t>
            </w:r>
          </w:p>
        </w:tc>
      </w:tr>
      <w:tr>
        <w:tc>
          <w:tcPr>
            <w:tcW w:type="dxa" w:w="2600"/>
            <w:shd w:fill="EAF3EE" w:val="clear"/>
            <w:tcMar>
              <w:top w:type="dxa" w:w="80"/>
              <w:left w:type="dxa" w:w="100"/>
              <w:bottom w:type="dxa" w:w="80"/>
              <w:right w:type="dxa" w:w="100"/>
            </w:tcMar>
          </w:tcPr>
          <w:p>
            <w:r>
              <w:rPr>
                <w:b w:val="false"/>
                <w:bCs w:val="false"/>
                <w:color w:val="1A1A1A"/>
              </w:rPr>
              <w:t xml:space="preserve">Product ESG Profile</w:t>
            </w:r>
          </w:p>
        </w:tc>
        <w:tc>
          <w:tcPr>
            <w:tcW w:type="dxa" w:w="4600"/>
            <w:shd w:fill="EAF3EE" w:val="clear"/>
            <w:tcMar>
              <w:top w:type="dxa" w:w="80"/>
              <w:left w:type="dxa" w:w="100"/>
              <w:bottom w:type="dxa" w:w="80"/>
              <w:right w:type="dxa" w:w="100"/>
            </w:tcMar>
          </w:tcPr>
          <w:p>
            <w:r>
              <w:rPr>
                <w:b w:val="false"/>
                <w:bCs w:val="false"/>
                <w:color w:val="1A1A1A"/>
              </w:rPr>
              <w:t xml:space="preserve">ESG information linked to products</w:t>
            </w:r>
          </w:p>
        </w:tc>
        <w:tc>
          <w:tcPr>
            <w:tcW w:type="dxa" w:w="5000"/>
            <w:shd w:fill="EAF3EE" w:val="clear"/>
            <w:tcMar>
              <w:top w:type="dxa" w:w="80"/>
              <w:left w:type="dxa" w:w="100"/>
              <w:bottom w:type="dxa" w:w="80"/>
              <w:right w:type="dxa" w:w="100"/>
            </w:tcMar>
          </w:tcPr>
          <w:p>
            <w:r>
              <w:rPr>
                <w:b w:val="false"/>
                <w:bCs w:val="false"/>
                <w:color w:val="1A1A1A"/>
              </w:rPr>
              <w:t xml:space="preserve">Product, ESG Attributes</w:t>
            </w:r>
          </w:p>
        </w:tc>
      </w:tr>
      <w:tr>
        <w:tc>
          <w:tcPr>
            <w:tcW w:type="dxa" w:w="2600"/>
            <w:tcMar>
              <w:top w:type="dxa" w:w="80"/>
              <w:left w:type="dxa" w:w="100"/>
              <w:bottom w:type="dxa" w:w="80"/>
              <w:right w:type="dxa" w:w="100"/>
            </w:tcMar>
          </w:tcPr>
          <w:p>
            <w:r>
              <w:rPr>
                <w:b w:val="false"/>
                <w:bCs w:val="false"/>
                <w:color w:val="1A1A1A"/>
              </w:rPr>
              <w:t xml:space="preserve">Environmental Goal</w:t>
            </w:r>
          </w:p>
        </w:tc>
        <w:tc>
          <w:tcPr>
            <w:tcW w:type="dxa" w:w="4600"/>
            <w:tcMar>
              <w:top w:type="dxa" w:w="80"/>
              <w:left w:type="dxa" w:w="100"/>
              <w:bottom w:type="dxa" w:w="80"/>
              <w:right w:type="dxa" w:w="100"/>
            </w:tcMar>
          </w:tcPr>
          <w:p>
            <w:r>
              <w:rPr>
                <w:b w:val="false"/>
                <w:bCs w:val="false"/>
                <w:color w:val="1A1A1A"/>
              </w:rPr>
              <w:t xml:space="preserve">Sustainability targets</w:t>
            </w:r>
          </w:p>
        </w:tc>
        <w:tc>
          <w:tcPr>
            <w:tcW w:type="dxa" w:w="5000"/>
            <w:tcMar>
              <w:top w:type="dxa" w:w="80"/>
              <w:left w:type="dxa" w:w="100"/>
              <w:bottom w:type="dxa" w:w="80"/>
              <w:right w:type="dxa" w:w="100"/>
            </w:tcMar>
          </w:tcPr>
          <w:p>
            <w:r>
              <w:rPr>
                <w:b w:val="false"/>
                <w:bCs w:val="false"/>
                <w:color w:val="1A1A1A"/>
              </w:rPr>
              <w:t xml:space="preserve">Department, Metric, Target Value, Deadline</w:t>
            </w:r>
          </w:p>
        </w:tc>
      </w:tr>
      <w:tr>
        <w:tc>
          <w:tcPr>
            <w:tcW w:type="dxa" w:w="2600"/>
            <w:shd w:fill="EAF3EE" w:val="clear"/>
            <w:tcMar>
              <w:top w:type="dxa" w:w="80"/>
              <w:left w:type="dxa" w:w="100"/>
              <w:bottom w:type="dxa" w:w="80"/>
              <w:right w:type="dxa" w:w="100"/>
            </w:tcMar>
          </w:tcPr>
          <w:p>
            <w:r>
              <w:rPr>
                <w:b w:val="false"/>
                <w:bCs w:val="false"/>
                <w:color w:val="1A1A1A"/>
              </w:rPr>
              <w:t xml:space="preserve">ESG Policy</w:t>
            </w:r>
          </w:p>
        </w:tc>
        <w:tc>
          <w:tcPr>
            <w:tcW w:type="dxa" w:w="4600"/>
            <w:shd w:fill="EAF3EE" w:val="clear"/>
            <w:tcMar>
              <w:top w:type="dxa" w:w="80"/>
              <w:left w:type="dxa" w:w="100"/>
              <w:bottom w:type="dxa" w:w="80"/>
              <w:right w:type="dxa" w:w="100"/>
            </w:tcMar>
          </w:tcPr>
          <w:p>
            <w:r>
              <w:rPr>
                <w:b w:val="false"/>
                <w:bCs w:val="false"/>
                <w:color w:val="1A1A1A"/>
              </w:rPr>
              <w:t xml:space="preserve">Governance policies</w:t>
            </w:r>
          </w:p>
        </w:tc>
        <w:tc>
          <w:tcPr>
            <w:tcW w:type="dxa" w:w="5000"/>
            <w:shd w:fill="EAF3EE" w:val="clear"/>
            <w:tcMar>
              <w:top w:type="dxa" w:w="80"/>
              <w:left w:type="dxa" w:w="100"/>
              <w:bottom w:type="dxa" w:w="80"/>
              <w:right w:type="dxa" w:w="100"/>
            </w:tcMar>
          </w:tcPr>
          <w:p>
            <w:r>
              <w:rPr>
                <w:b w:val="false"/>
                <w:bCs w:val="false"/>
                <w:color w:val="1A1A1A"/>
              </w:rPr>
              <w:t xml:space="preserve">Title, Description, Category, Version, Status</w:t>
            </w:r>
          </w:p>
        </w:tc>
      </w:tr>
      <w:tr>
        <w:tc>
          <w:tcPr>
            <w:tcW w:type="dxa" w:w="2600"/>
            <w:tcMar>
              <w:top w:type="dxa" w:w="80"/>
              <w:left w:type="dxa" w:w="100"/>
              <w:bottom w:type="dxa" w:w="80"/>
              <w:right w:type="dxa" w:w="100"/>
            </w:tcMar>
          </w:tcPr>
          <w:p>
            <w:r>
              <w:rPr>
                <w:b w:val="false"/>
                <w:bCs w:val="false"/>
                <w:color w:val="1A1A1A"/>
              </w:rPr>
              <w:t xml:space="preserve">Badge</w:t>
            </w:r>
          </w:p>
        </w:tc>
        <w:tc>
          <w:tcPr>
            <w:tcW w:type="dxa" w:w="4600"/>
            <w:tcMar>
              <w:top w:type="dxa" w:w="80"/>
              <w:left w:type="dxa" w:w="100"/>
              <w:bottom w:type="dxa" w:w="80"/>
              <w:right w:type="dxa" w:w="100"/>
            </w:tcMar>
          </w:tcPr>
          <w:p>
            <w:r>
              <w:rPr>
                <w:b w:val="false"/>
                <w:bCs w:val="false"/>
                <w:color w:val="1A1A1A"/>
              </w:rPr>
              <w:t xml:space="preserve">Employee achievements</w:t>
            </w:r>
          </w:p>
        </w:tc>
        <w:tc>
          <w:tcPr>
            <w:tcW w:type="dxa" w:w="5000"/>
            <w:tcMar>
              <w:top w:type="dxa" w:w="80"/>
              <w:left w:type="dxa" w:w="100"/>
              <w:bottom w:type="dxa" w:w="80"/>
              <w:right w:type="dxa" w:w="100"/>
            </w:tcMar>
          </w:tcPr>
          <w:p>
            <w:r>
              <w:rPr>
                <w:b w:val="false"/>
                <w:bCs w:val="false"/>
                <w:color w:val="1A1A1A"/>
              </w:rPr>
              <w:t xml:space="preserve">Name, Description, Unlock Rule, Icon</w:t>
            </w:r>
          </w:p>
        </w:tc>
      </w:tr>
      <w:tr>
        <w:tc>
          <w:tcPr>
            <w:tcW w:type="dxa" w:w="2600"/>
            <w:shd w:fill="EAF3EE" w:val="clear"/>
            <w:tcMar>
              <w:top w:type="dxa" w:w="80"/>
              <w:left w:type="dxa" w:w="100"/>
              <w:bottom w:type="dxa" w:w="80"/>
              <w:right w:type="dxa" w:w="100"/>
            </w:tcMar>
          </w:tcPr>
          <w:p>
            <w:r>
              <w:rPr>
                <w:b w:val="false"/>
                <w:bCs w:val="false"/>
                <w:color w:val="1A1A1A"/>
              </w:rPr>
              <w:t xml:space="preserve">Reward</w:t>
            </w:r>
          </w:p>
        </w:tc>
        <w:tc>
          <w:tcPr>
            <w:tcW w:type="dxa" w:w="4600"/>
            <w:shd w:fill="EAF3EE" w:val="clear"/>
            <w:tcMar>
              <w:top w:type="dxa" w:w="80"/>
              <w:left w:type="dxa" w:w="100"/>
              <w:bottom w:type="dxa" w:w="80"/>
              <w:right w:type="dxa" w:w="100"/>
            </w:tcMar>
          </w:tcPr>
          <w:p>
            <w:r>
              <w:rPr>
                <w:b w:val="false"/>
                <w:bCs w:val="false"/>
                <w:color w:val="1A1A1A"/>
              </w:rPr>
              <w:t xml:space="preserve">Redeemable incentives</w:t>
            </w:r>
          </w:p>
        </w:tc>
        <w:tc>
          <w:tcPr>
            <w:tcW w:type="dxa" w:w="5000"/>
            <w:shd w:fill="EAF3EE" w:val="clear"/>
            <w:tcMar>
              <w:top w:type="dxa" w:w="80"/>
              <w:left w:type="dxa" w:w="100"/>
              <w:bottom w:type="dxa" w:w="80"/>
              <w:right w:type="dxa" w:w="100"/>
            </w:tcMar>
          </w:tcPr>
          <w:p>
            <w:r>
              <w:rPr>
                <w:b w:val="false"/>
                <w:bCs w:val="false"/>
                <w:color w:val="1A1A1A"/>
              </w:rPr>
              <w:t xml:space="preserve">Name, Description, Points Required, Stock, Status</w:t>
            </w:r>
          </w:p>
        </w:tc>
      </w:tr>
    </w:tbl>
    <w:p>
      <w:pPr>
        <w:spacing w:after="120"/>
      </w:pPr>
      <w:r>
        <w:t xml:space="preserve"/>
      </w:r>
    </w:p>
    <w:p>
      <w:pPr>
        <w:pStyle w:val="Heading2"/>
        <w:spacing w:after="150" w:before="300"/>
      </w:pPr>
      <w:r>
        <w:rPr>
          <w:b/>
          <w:bCs/>
          <w:color w:val="1A1A1A"/>
        </w:rPr>
        <w:t xml:space="preserve">5.2 Transactional Data</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5000"/>
      </w:tblGrid>
      <w:tr>
        <w:trPr>
          <w:tblHeader/>
        </w:trPr>
        <w:tc>
          <w:tcPr>
            <w:tcW w:type="dxa" w:w="2600"/>
            <w:shd w:fill="1F6F4A" w:val="clear"/>
            <w:tcMar>
              <w:top w:type="dxa" w:w="80"/>
              <w:left w:type="dxa" w:w="100"/>
              <w:bottom w:type="dxa" w:w="80"/>
              <w:right w:type="dxa" w:w="100"/>
            </w:tcMar>
          </w:tcPr>
          <w:p>
            <w:r>
              <w:rPr>
                <w:b/>
                <w:bCs/>
                <w:color w:val="FFFFFF"/>
              </w:rPr>
              <w:t xml:space="preserve">Model</w:t>
            </w:r>
          </w:p>
        </w:tc>
        <w:tc>
          <w:tcPr>
            <w:tcW w:type="dxa" w:w="4600"/>
            <w:shd w:fill="1F6F4A" w:val="clear"/>
            <w:tcMar>
              <w:top w:type="dxa" w:w="80"/>
              <w:left w:type="dxa" w:w="100"/>
              <w:bottom w:type="dxa" w:w="80"/>
              <w:right w:type="dxa" w:w="100"/>
            </w:tcMar>
          </w:tcPr>
          <w:p>
            <w:r>
              <w:rPr>
                <w:b/>
                <w:bCs/>
                <w:color w:val="FFFFFF"/>
              </w:rPr>
              <w:t xml:space="preserve">Purpose</w:t>
            </w:r>
          </w:p>
        </w:tc>
        <w:tc>
          <w:tcPr>
            <w:tcW w:type="dxa" w:w="5000"/>
            <w:shd w:fill="1F6F4A" w:val="clear"/>
            <w:tcMar>
              <w:top w:type="dxa" w:w="80"/>
              <w:left w:type="dxa" w:w="100"/>
              <w:bottom w:type="dxa" w:w="80"/>
              <w:right w:type="dxa" w:w="100"/>
            </w:tcMar>
          </w:tcPr>
          <w:p>
            <w:r>
              <w:rPr>
                <w:b/>
                <w:bCs/>
                <w:color w:val="FFFFFF"/>
              </w:rPr>
              <w:t xml:space="preserve">Key Fields</w:t>
            </w:r>
          </w:p>
        </w:tc>
      </w:tr>
      <w:tr>
        <w:tc>
          <w:tcPr>
            <w:tcW w:type="dxa" w:w="2600"/>
            <w:tcMar>
              <w:top w:type="dxa" w:w="80"/>
              <w:left w:type="dxa" w:w="100"/>
              <w:bottom w:type="dxa" w:w="80"/>
              <w:right w:type="dxa" w:w="100"/>
            </w:tcMar>
          </w:tcPr>
          <w:p>
            <w:r>
              <w:rPr>
                <w:b w:val="false"/>
                <w:bCs w:val="false"/>
                <w:color w:val="1A1A1A"/>
              </w:rPr>
              <w:t xml:space="preserve">Carbon Transaction</w:t>
            </w:r>
          </w:p>
        </w:tc>
        <w:tc>
          <w:tcPr>
            <w:tcW w:type="dxa" w:w="4600"/>
            <w:tcMar>
              <w:top w:type="dxa" w:w="80"/>
              <w:left w:type="dxa" w:w="100"/>
              <w:bottom w:type="dxa" w:w="80"/>
              <w:right w:type="dxa" w:w="100"/>
            </w:tcMar>
          </w:tcPr>
          <w:p>
            <w:r>
              <w:rPr>
                <w:b w:val="false"/>
                <w:bCs w:val="false"/>
                <w:color w:val="1A1A1A"/>
              </w:rPr>
              <w:t xml:space="preserve">Stores calculated emissions from ERP operations</w:t>
            </w:r>
          </w:p>
        </w:tc>
        <w:tc>
          <w:tcPr>
            <w:tcW w:type="dxa" w:w="5000"/>
            <w:tcMar>
              <w:top w:type="dxa" w:w="80"/>
              <w:left w:type="dxa" w:w="100"/>
              <w:bottom w:type="dxa" w:w="80"/>
              <w:right w:type="dxa" w:w="100"/>
            </w:tcMar>
          </w:tcPr>
          <w:p>
            <w:r>
              <w:rPr>
                <w:b w:val="false"/>
                <w:bCs w:val="false"/>
                <w:color w:val="1A1A1A"/>
              </w:rPr>
              <w:t xml:space="preserve">Source Type, Source Record, Emission Factor, CO2e Value, Department, Date</w:t>
            </w:r>
          </w:p>
        </w:tc>
      </w:tr>
      <w:tr>
        <w:tc>
          <w:tcPr>
            <w:tcW w:type="dxa" w:w="2600"/>
            <w:shd w:fill="EAF3EE" w:val="clear"/>
            <w:tcMar>
              <w:top w:type="dxa" w:w="80"/>
              <w:left w:type="dxa" w:w="100"/>
              <w:bottom w:type="dxa" w:w="80"/>
              <w:right w:type="dxa" w:w="100"/>
            </w:tcMar>
          </w:tcPr>
          <w:p>
            <w:r>
              <w:rPr>
                <w:b w:val="false"/>
                <w:bCs w:val="false"/>
                <w:color w:val="1A1A1A"/>
              </w:rPr>
              <w:t xml:space="preserve">CSR Activity</w:t>
            </w:r>
          </w:p>
        </w:tc>
        <w:tc>
          <w:tcPr>
            <w:tcW w:type="dxa" w:w="4600"/>
            <w:shd w:fill="EAF3EE" w:val="clear"/>
            <w:tcMar>
              <w:top w:type="dxa" w:w="80"/>
              <w:left w:type="dxa" w:w="100"/>
              <w:bottom w:type="dxa" w:w="80"/>
              <w:right w:type="dxa" w:w="100"/>
            </w:tcMar>
          </w:tcPr>
          <w:p>
            <w:r>
              <w:rPr>
                <w:b w:val="false"/>
                <w:bCs w:val="false"/>
                <w:color w:val="1A1A1A"/>
              </w:rPr>
              <w:t xml:space="preserve">Social initiatives organized by the company</w:t>
            </w:r>
          </w:p>
        </w:tc>
        <w:tc>
          <w:tcPr>
            <w:tcW w:type="dxa" w:w="5000"/>
            <w:shd w:fill="EAF3EE" w:val="clear"/>
            <w:tcMar>
              <w:top w:type="dxa" w:w="80"/>
              <w:left w:type="dxa" w:w="100"/>
              <w:bottom w:type="dxa" w:w="80"/>
              <w:right w:type="dxa" w:w="100"/>
            </w:tcMar>
          </w:tcPr>
          <w:p>
            <w:r>
              <w:rPr>
                <w:b w:val="false"/>
                <w:bCs w:val="false"/>
                <w:color w:val="1A1A1A"/>
              </w:rPr>
              <w:t xml:space="preserve">Title, Category, Description, Date, Status</w:t>
            </w:r>
          </w:p>
        </w:tc>
      </w:tr>
      <w:tr>
        <w:tc>
          <w:tcPr>
            <w:tcW w:type="dxa" w:w="2600"/>
            <w:tcMar>
              <w:top w:type="dxa" w:w="80"/>
              <w:left w:type="dxa" w:w="100"/>
              <w:bottom w:type="dxa" w:w="80"/>
              <w:right w:type="dxa" w:w="100"/>
            </w:tcMar>
          </w:tcPr>
          <w:p>
            <w:r>
              <w:rPr>
                <w:b w:val="false"/>
                <w:bCs w:val="false"/>
                <w:color w:val="1A1A1A"/>
              </w:rPr>
              <w:t xml:space="preserve">Employee Participation</w:t>
            </w:r>
          </w:p>
        </w:tc>
        <w:tc>
          <w:tcPr>
            <w:tcW w:type="dxa" w:w="4600"/>
            <w:tcMar>
              <w:top w:type="dxa" w:w="80"/>
              <w:left w:type="dxa" w:w="100"/>
              <w:bottom w:type="dxa" w:w="80"/>
              <w:right w:type="dxa" w:w="100"/>
            </w:tcMar>
          </w:tcPr>
          <w:p>
            <w:r>
              <w:rPr>
                <w:b w:val="false"/>
                <w:bCs w:val="false"/>
                <w:color w:val="1A1A1A"/>
              </w:rPr>
              <w:t xml:space="preserve">Tracks employee involvement in CSR Activities</w:t>
            </w:r>
          </w:p>
        </w:tc>
        <w:tc>
          <w:tcPr>
            <w:tcW w:type="dxa" w:w="5000"/>
            <w:tcMar>
              <w:top w:type="dxa" w:w="80"/>
              <w:left w:type="dxa" w:w="100"/>
              <w:bottom w:type="dxa" w:w="80"/>
              <w:right w:type="dxa" w:w="100"/>
            </w:tcMar>
          </w:tcPr>
          <w:p>
            <w:r>
              <w:rPr>
                <w:b w:val="false"/>
                <w:bCs w:val="false"/>
                <w:color w:val="1A1A1A"/>
              </w:rPr>
              <w:t xml:space="preserve">Employee, Activity, Proof, Approval Status, Points Earned, Completion Date</w:t>
            </w:r>
          </w:p>
        </w:tc>
      </w:tr>
      <w:tr>
        <w:tc>
          <w:tcPr>
            <w:tcW w:type="dxa" w:w="2600"/>
            <w:shd w:fill="EAF3EE" w:val="clear"/>
            <w:tcMar>
              <w:top w:type="dxa" w:w="80"/>
              <w:left w:type="dxa" w:w="100"/>
              <w:bottom w:type="dxa" w:w="80"/>
              <w:right w:type="dxa" w:w="100"/>
            </w:tcMar>
          </w:tcPr>
          <w:p>
            <w:r>
              <w:rPr>
                <w:b w:val="false"/>
                <w:bCs w:val="false"/>
                <w:color w:val="1A1A1A"/>
              </w:rPr>
              <w:t xml:space="preserve">Challenge</w:t>
            </w:r>
          </w:p>
        </w:tc>
        <w:tc>
          <w:tcPr>
            <w:tcW w:type="dxa" w:w="4600"/>
            <w:shd w:fill="EAF3EE" w:val="clear"/>
            <w:tcMar>
              <w:top w:type="dxa" w:w="80"/>
              <w:left w:type="dxa" w:w="100"/>
              <w:bottom w:type="dxa" w:w="80"/>
              <w:right w:type="dxa" w:w="100"/>
            </w:tcMar>
          </w:tcPr>
          <w:p>
            <w:r>
              <w:rPr>
                <w:b w:val="false"/>
                <w:bCs w:val="false"/>
                <w:color w:val="1A1A1A"/>
              </w:rPr>
              <w:t xml:space="preserve">Sustainability challenges</w:t>
            </w:r>
          </w:p>
        </w:tc>
        <w:tc>
          <w:tcPr>
            <w:tcW w:type="dxa" w:w="5000"/>
            <w:shd w:fill="EAF3EE" w:val="clear"/>
            <w:tcMar>
              <w:top w:type="dxa" w:w="80"/>
              <w:left w:type="dxa" w:w="100"/>
              <w:bottom w:type="dxa" w:w="80"/>
              <w:right w:type="dxa" w:w="100"/>
            </w:tcMar>
          </w:tcPr>
          <w:p>
            <w:r>
              <w:rPr>
                <w:b w:val="false"/>
                <w:bCs w:val="false"/>
                <w:color w:val="1A1A1A"/>
              </w:rPr>
              <w:t xml:space="preserve">Title, Category, Description, XP, Difficulty, Evidence Required, Deadline, Status</w:t>
            </w:r>
          </w:p>
        </w:tc>
      </w:tr>
      <w:tr>
        <w:tc>
          <w:tcPr>
            <w:tcW w:type="dxa" w:w="2600"/>
            <w:tcMar>
              <w:top w:type="dxa" w:w="80"/>
              <w:left w:type="dxa" w:w="100"/>
              <w:bottom w:type="dxa" w:w="80"/>
              <w:right w:type="dxa" w:w="100"/>
            </w:tcMar>
          </w:tcPr>
          <w:p>
            <w:r>
              <w:rPr>
                <w:b w:val="false"/>
                <w:bCs w:val="false"/>
                <w:color w:val="1A1A1A"/>
              </w:rPr>
              <w:t xml:space="preserve">Challenge Participation</w:t>
            </w:r>
          </w:p>
        </w:tc>
        <w:tc>
          <w:tcPr>
            <w:tcW w:type="dxa" w:w="4600"/>
            <w:tcMar>
              <w:top w:type="dxa" w:w="80"/>
              <w:left w:type="dxa" w:w="100"/>
              <w:bottom w:type="dxa" w:w="80"/>
              <w:right w:type="dxa" w:w="100"/>
            </w:tcMar>
          </w:tcPr>
          <w:p>
            <w:r>
              <w:rPr>
                <w:b w:val="false"/>
                <w:bCs w:val="false"/>
                <w:color w:val="1A1A1A"/>
              </w:rPr>
              <w:t xml:space="preserve">Tracks employee progress within Challenges</w:t>
            </w:r>
          </w:p>
        </w:tc>
        <w:tc>
          <w:tcPr>
            <w:tcW w:type="dxa" w:w="5000"/>
            <w:tcMar>
              <w:top w:type="dxa" w:w="80"/>
              <w:left w:type="dxa" w:w="100"/>
              <w:bottom w:type="dxa" w:w="80"/>
              <w:right w:type="dxa" w:w="100"/>
            </w:tcMar>
          </w:tcPr>
          <w:p>
            <w:r>
              <w:rPr>
                <w:b w:val="false"/>
                <w:bCs w:val="false"/>
                <w:color w:val="1A1A1A"/>
              </w:rPr>
              <w:t xml:space="preserve">Challenge, Employee, Progress, Proof, Approval, XP Awarded</w:t>
            </w:r>
          </w:p>
        </w:tc>
      </w:tr>
      <w:tr>
        <w:tc>
          <w:tcPr>
            <w:tcW w:type="dxa" w:w="2600"/>
            <w:shd w:fill="EAF3EE" w:val="clear"/>
            <w:tcMar>
              <w:top w:type="dxa" w:w="80"/>
              <w:left w:type="dxa" w:w="100"/>
              <w:bottom w:type="dxa" w:w="80"/>
              <w:right w:type="dxa" w:w="100"/>
            </w:tcMar>
          </w:tcPr>
          <w:p>
            <w:r>
              <w:rPr>
                <w:b w:val="false"/>
                <w:bCs w:val="false"/>
                <w:color w:val="1A1A1A"/>
              </w:rPr>
              <w:t xml:space="preserve">Policy Acknowledgement</w:t>
            </w:r>
          </w:p>
        </w:tc>
        <w:tc>
          <w:tcPr>
            <w:tcW w:type="dxa" w:w="4600"/>
            <w:shd w:fill="EAF3EE" w:val="clear"/>
            <w:tcMar>
              <w:top w:type="dxa" w:w="80"/>
              <w:left w:type="dxa" w:w="100"/>
              <w:bottom w:type="dxa" w:w="80"/>
              <w:right w:type="dxa" w:w="100"/>
            </w:tcMar>
          </w:tcPr>
          <w:p>
            <w:r>
              <w:rPr>
                <w:b w:val="false"/>
                <w:bCs w:val="false"/>
                <w:color w:val="1A1A1A"/>
              </w:rPr>
              <w:t xml:space="preserve">Employee policy acceptance</w:t>
            </w:r>
          </w:p>
        </w:tc>
        <w:tc>
          <w:tcPr>
            <w:tcW w:type="dxa" w:w="5000"/>
            <w:shd w:fill="EAF3EE" w:val="clear"/>
            <w:tcMar>
              <w:top w:type="dxa" w:w="80"/>
              <w:left w:type="dxa" w:w="100"/>
              <w:bottom w:type="dxa" w:w="80"/>
              <w:right w:type="dxa" w:w="100"/>
            </w:tcMar>
          </w:tcPr>
          <w:p>
            <w:r>
              <w:rPr>
                <w:b w:val="false"/>
                <w:bCs w:val="false"/>
                <w:color w:val="1A1A1A"/>
              </w:rPr>
              <w:t xml:space="preserve">Employee, Policy, Acknowledged Date, Status</w:t>
            </w:r>
          </w:p>
        </w:tc>
      </w:tr>
      <w:tr>
        <w:tc>
          <w:tcPr>
            <w:tcW w:type="dxa" w:w="2600"/>
            <w:tcMar>
              <w:top w:type="dxa" w:w="80"/>
              <w:left w:type="dxa" w:w="100"/>
              <w:bottom w:type="dxa" w:w="80"/>
              <w:right w:type="dxa" w:w="100"/>
            </w:tcMar>
          </w:tcPr>
          <w:p>
            <w:r>
              <w:rPr>
                <w:b w:val="false"/>
                <w:bCs w:val="false"/>
                <w:color w:val="1A1A1A"/>
              </w:rPr>
              <w:t xml:space="preserve">Audit</w:t>
            </w:r>
          </w:p>
        </w:tc>
        <w:tc>
          <w:tcPr>
            <w:tcW w:type="dxa" w:w="4600"/>
            <w:tcMar>
              <w:top w:type="dxa" w:w="80"/>
              <w:left w:type="dxa" w:w="100"/>
              <w:bottom w:type="dxa" w:w="80"/>
              <w:right w:type="dxa" w:w="100"/>
            </w:tcMar>
          </w:tcPr>
          <w:p>
            <w:r>
              <w:rPr>
                <w:b w:val="false"/>
                <w:bCs w:val="false"/>
                <w:color w:val="1A1A1A"/>
              </w:rPr>
              <w:t xml:space="preserve">Governance audits</w:t>
            </w:r>
          </w:p>
        </w:tc>
        <w:tc>
          <w:tcPr>
            <w:tcW w:type="dxa" w:w="5000"/>
            <w:tcMar>
              <w:top w:type="dxa" w:w="80"/>
              <w:left w:type="dxa" w:w="100"/>
              <w:bottom w:type="dxa" w:w="80"/>
              <w:right w:type="dxa" w:w="100"/>
            </w:tcMar>
          </w:tcPr>
          <w:p>
            <w:r>
              <w:rPr>
                <w:b w:val="false"/>
                <w:bCs w:val="false"/>
                <w:color w:val="1A1A1A"/>
              </w:rPr>
              <w:t xml:space="preserve">Title, Scope, Date, Auditor, Status</w:t>
            </w:r>
          </w:p>
        </w:tc>
      </w:tr>
      <w:tr>
        <w:tc>
          <w:tcPr>
            <w:tcW w:type="dxa" w:w="2600"/>
            <w:shd w:fill="EAF3EE" w:val="clear"/>
            <w:tcMar>
              <w:top w:type="dxa" w:w="80"/>
              <w:left w:type="dxa" w:w="100"/>
              <w:bottom w:type="dxa" w:w="80"/>
              <w:right w:type="dxa" w:w="100"/>
            </w:tcMar>
          </w:tcPr>
          <w:p>
            <w:r>
              <w:rPr>
                <w:b w:val="false"/>
                <w:bCs w:val="false"/>
                <w:color w:val="1A1A1A"/>
              </w:rPr>
              <w:t xml:space="preserve">Compliance Issue</w:t>
            </w:r>
          </w:p>
        </w:tc>
        <w:tc>
          <w:tcPr>
            <w:tcW w:type="dxa" w:w="4600"/>
            <w:shd w:fill="EAF3EE" w:val="clear"/>
            <w:tcMar>
              <w:top w:type="dxa" w:w="80"/>
              <w:left w:type="dxa" w:w="100"/>
              <w:bottom w:type="dxa" w:w="80"/>
              <w:right w:type="dxa" w:w="100"/>
            </w:tcMar>
          </w:tcPr>
          <w:p>
            <w:r>
              <w:rPr>
                <w:b w:val="false"/>
                <w:bCs w:val="false"/>
                <w:color w:val="1A1A1A"/>
              </w:rPr>
              <w:t xml:space="preserve">Governance violations</w:t>
            </w:r>
          </w:p>
        </w:tc>
        <w:tc>
          <w:tcPr>
            <w:tcW w:type="dxa" w:w="5000"/>
            <w:shd w:fill="EAF3EE" w:val="clear"/>
            <w:tcMar>
              <w:top w:type="dxa" w:w="80"/>
              <w:left w:type="dxa" w:w="100"/>
              <w:bottom w:type="dxa" w:w="80"/>
              <w:right w:type="dxa" w:w="100"/>
            </w:tcMar>
          </w:tcPr>
          <w:p>
            <w:r>
              <w:rPr>
                <w:b w:val="false"/>
                <w:bCs w:val="false"/>
                <w:color w:val="1A1A1A"/>
              </w:rPr>
              <w:t xml:space="preserve">Audit, Severity, Description, Owner, Due Date, Status</w:t>
            </w:r>
          </w:p>
        </w:tc>
      </w:tr>
      <w:tr>
        <w:tc>
          <w:tcPr>
            <w:tcW w:type="dxa" w:w="2600"/>
            <w:tcMar>
              <w:top w:type="dxa" w:w="80"/>
              <w:left w:type="dxa" w:w="100"/>
              <w:bottom w:type="dxa" w:w="80"/>
              <w:right w:type="dxa" w:w="100"/>
            </w:tcMar>
          </w:tcPr>
          <w:p>
            <w:r>
              <w:rPr>
                <w:b w:val="false"/>
                <w:bCs w:val="false"/>
                <w:color w:val="1A1A1A"/>
              </w:rPr>
              <w:t xml:space="preserve">Department Score</w:t>
            </w:r>
          </w:p>
        </w:tc>
        <w:tc>
          <w:tcPr>
            <w:tcW w:type="dxa" w:w="4600"/>
            <w:tcMar>
              <w:top w:type="dxa" w:w="80"/>
              <w:left w:type="dxa" w:w="100"/>
              <w:bottom w:type="dxa" w:w="80"/>
              <w:right w:type="dxa" w:w="100"/>
            </w:tcMar>
          </w:tcPr>
          <w:p>
            <w:r>
              <w:rPr>
                <w:b w:val="false"/>
                <w:bCs w:val="false"/>
                <w:color w:val="1A1A1A"/>
              </w:rPr>
              <w:t xml:space="preserve">Aggregated ESG performance per department</w:t>
            </w:r>
          </w:p>
        </w:tc>
        <w:tc>
          <w:tcPr>
            <w:tcW w:type="dxa" w:w="5000"/>
            <w:tcMar>
              <w:top w:type="dxa" w:w="80"/>
              <w:left w:type="dxa" w:w="100"/>
              <w:bottom w:type="dxa" w:w="80"/>
              <w:right w:type="dxa" w:w="100"/>
            </w:tcMar>
          </w:tcPr>
          <w:p>
            <w:r>
              <w:rPr>
                <w:b w:val="false"/>
                <w:bCs w:val="false"/>
                <w:color w:val="1A1A1A"/>
              </w:rPr>
              <w:t xml:space="preserve">Department, Environmental Score, Social Score, Governance Score, Total Score</w:t>
            </w:r>
          </w:p>
        </w:tc>
      </w:tr>
    </w:tbl>
    <w:p>
      <w:pPr>
        <w:pStyle w:val="Heading1"/>
        <w:spacing w:after="200" w:before="400"/>
      </w:pPr>
      <w:r>
        <w:rPr>
          <w:b/>
          <w:bCs/>
          <w:color w:val="1F6F4A"/>
        </w:rPr>
        <w:t xml:space="preserve">6. Business Workflow</w:t>
      </w:r>
    </w:p>
    <w:p>
      <w:pPr>
        <w:spacing w:after="120"/>
      </w:pPr>
      <w:r>
        <w:t xml:space="preserve">Master Configuration (Departments · Categories · Emission Factors · Products · Goals · Policies · Challenges)</w:t>
      </w:r>
    </w:p>
    <w:p>
      <w:pPr>
        <w:spacing w:after="120"/>
      </w:pPr>
      <w:r>
        <w:t xml:space="preserve">→ Daily Business Operations (Purchase • Manufacturing • Expenses • Fleet)</w:t>
      </w:r>
    </w:p>
    <w:p>
      <w:pPr>
        <w:spacing w:after="120"/>
      </w:pPr>
      <w:r>
        <w:t xml:space="preserve">→ Carbon Transactions</w:t>
      </w:r>
    </w:p>
    <w:p>
      <w:pPr>
        <w:spacing w:after="120"/>
      </w:pPr>
      <w:r>
        <w:t xml:space="preserve">→ Employee Participation (CSR) · Challenge Participation · Policy Acknowledgements · Audits</w:t>
      </w:r>
    </w:p>
    <w:p>
      <w:pPr>
        <w:spacing w:after="120"/>
      </w:pPr>
      <w:r>
        <w:t xml:space="preserve">→ Environmental Score / Social Score / Governance Score</w:t>
      </w:r>
    </w:p>
    <w:p>
      <w:pPr>
        <w:spacing w:after="120"/>
      </w:pPr>
      <w:r>
        <w:t xml:space="preserve">→ Department Total Score</w:t>
      </w:r>
    </w:p>
    <w:p>
      <w:pPr>
        <w:spacing w:after="120"/>
      </w:pPr>
      <w:r>
        <w:t xml:space="preserve">→ Overall ESG Score (weighted average — default 40/30/30, configurable)</w:t>
      </w:r>
    </w:p>
    <w:p>
      <w:pPr>
        <w:spacing w:after="120"/>
      </w:pPr>
      <w:r>
        <w:t xml:space="preserve">→ Organization Dashboard &amp; Reports</w:t>
      </w:r>
    </w:p>
    <w:p>
      <w:pPr>
        <w:pStyle w:val="Heading1"/>
        <w:spacing w:after="200" w:before="400"/>
      </w:pPr>
      <w:r>
        <w:rPr>
          <w:b/>
          <w:bCs/>
          <w:color w:val="1F6F4A"/>
        </w:rPr>
        <w:t xml:space="preserve">7. Technical Approach</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6600"/>
      </w:tblGrid>
      <w:tr>
        <w:trPr>
          <w:tblHeader/>
        </w:trPr>
        <w:tc>
          <w:tcPr>
            <w:tcW w:type="dxa" w:w="2400"/>
            <w:shd w:fill="1F6F4A" w:val="clear"/>
            <w:tcMar>
              <w:top w:type="dxa" w:w="80"/>
              <w:left w:type="dxa" w:w="100"/>
              <w:bottom w:type="dxa" w:w="80"/>
              <w:right w:type="dxa" w:w="100"/>
            </w:tcMar>
          </w:tcPr>
          <w:p>
            <w:r>
              <w:rPr>
                <w:b/>
                <w:bCs/>
                <w:color w:val="FFFFFF"/>
              </w:rPr>
              <w:t xml:space="preserve">Layer</w:t>
            </w:r>
          </w:p>
        </w:tc>
        <w:tc>
          <w:tcPr>
            <w:tcW w:type="dxa" w:w="4200"/>
            <w:shd w:fill="1F6F4A" w:val="clear"/>
            <w:tcMar>
              <w:top w:type="dxa" w:w="80"/>
              <w:left w:type="dxa" w:w="100"/>
              <w:bottom w:type="dxa" w:w="80"/>
              <w:right w:type="dxa" w:w="100"/>
            </w:tcMar>
          </w:tcPr>
          <w:p>
            <w:r>
              <w:rPr>
                <w:b/>
                <w:bCs/>
                <w:color w:val="FFFFFF"/>
              </w:rPr>
              <w:t xml:space="preserve">Choice</w:t>
            </w:r>
          </w:p>
        </w:tc>
        <w:tc>
          <w:tcPr>
            <w:tcW w:type="dxa" w:w="6600"/>
            <w:shd w:fill="1F6F4A" w:val="clear"/>
            <w:tcMar>
              <w:top w:type="dxa" w:w="80"/>
              <w:left w:type="dxa" w:w="100"/>
              <w:bottom w:type="dxa" w:w="80"/>
              <w:right w:type="dxa" w:w="100"/>
            </w:tcMar>
          </w:tcPr>
          <w:p>
            <w:r>
              <w:rPr>
                <w:b/>
                <w:bCs/>
                <w:color w:val="FFFFFF"/>
              </w:rPr>
              <w:t xml:space="preserve">Notes</w:t>
            </w:r>
          </w:p>
        </w:tc>
      </w:tr>
      <w:tr>
        <w:tc>
          <w:tcPr>
            <w:tcW w:type="dxa" w:w="2400"/>
            <w:tcMar>
              <w:top w:type="dxa" w:w="80"/>
              <w:left w:type="dxa" w:w="100"/>
              <w:bottom w:type="dxa" w:w="80"/>
              <w:right w:type="dxa" w:w="100"/>
            </w:tcMar>
          </w:tcPr>
          <w:p>
            <w:r>
              <w:rPr>
                <w:b w:val="false"/>
                <w:bCs w:val="false"/>
                <w:color w:val="1A1A1A"/>
              </w:rPr>
              <w:t xml:space="preserve">Frontend</w:t>
            </w:r>
          </w:p>
        </w:tc>
        <w:tc>
          <w:tcPr>
            <w:tcW w:type="dxa" w:w="4200"/>
            <w:tcMar>
              <w:top w:type="dxa" w:w="80"/>
              <w:left w:type="dxa" w:w="100"/>
              <w:bottom w:type="dxa" w:w="80"/>
              <w:right w:type="dxa" w:w="100"/>
            </w:tcMar>
          </w:tcPr>
          <w:p>
            <w:r>
              <w:rPr>
                <w:b w:val="false"/>
                <w:bCs w:val="false"/>
                <w:color w:val="1A1A1A"/>
              </w:rPr>
              <w:t xml:space="preserve">React (Vite) + Tailwind CSS</w:t>
            </w:r>
          </w:p>
        </w:tc>
        <w:tc>
          <w:tcPr>
            <w:tcW w:type="dxa" w:w="6600"/>
            <w:tcMar>
              <w:top w:type="dxa" w:w="80"/>
              <w:left w:type="dxa" w:w="100"/>
              <w:bottom w:type="dxa" w:w="80"/>
              <w:right w:type="dxa" w:w="100"/>
            </w:tcMar>
          </w:tcPr>
          <w:p>
            <w:r>
              <w:rPr>
                <w:b w:val="false"/>
                <w:bCs w:val="false"/>
                <w:color w:val="1A1A1A"/>
              </w:rPr>
              <w:t xml:space="preserve">Recharts for dashboard visualizations</w:t>
            </w:r>
          </w:p>
        </w:tc>
      </w:tr>
      <w:tr>
        <w:tc>
          <w:tcPr>
            <w:tcW w:type="dxa" w:w="2400"/>
            <w:shd w:fill="EAF3EE" w:val="clear"/>
            <w:tcMar>
              <w:top w:type="dxa" w:w="80"/>
              <w:left w:type="dxa" w:w="100"/>
              <w:bottom w:type="dxa" w:w="80"/>
              <w:right w:type="dxa" w:w="100"/>
            </w:tcMar>
          </w:tcPr>
          <w:p>
            <w:r>
              <w:rPr>
                <w:b w:val="false"/>
                <w:bCs w:val="false"/>
                <w:color w:val="1A1A1A"/>
              </w:rPr>
              <w:t xml:space="preserve">Backend</w:t>
            </w:r>
          </w:p>
        </w:tc>
        <w:tc>
          <w:tcPr>
            <w:tcW w:type="dxa" w:w="4200"/>
            <w:shd w:fill="EAF3EE" w:val="clear"/>
            <w:tcMar>
              <w:top w:type="dxa" w:w="80"/>
              <w:left w:type="dxa" w:w="100"/>
              <w:bottom w:type="dxa" w:w="80"/>
              <w:right w:type="dxa" w:w="100"/>
            </w:tcMar>
          </w:tcPr>
          <w:p>
            <w:r>
              <w:rPr>
                <w:b w:val="false"/>
                <w:bCs w:val="false"/>
                <w:color w:val="1A1A1A"/>
              </w:rPr>
              <w:t xml:space="preserve">Node.js + Express</w:t>
            </w:r>
          </w:p>
        </w:tc>
        <w:tc>
          <w:tcPr>
            <w:tcW w:type="dxa" w:w="6600"/>
            <w:shd w:fill="EAF3EE" w:val="clear"/>
            <w:tcMar>
              <w:top w:type="dxa" w:w="80"/>
              <w:left w:type="dxa" w:w="100"/>
              <w:bottom w:type="dxa" w:w="80"/>
              <w:right w:type="dxa" w:w="100"/>
            </w:tcMar>
          </w:tcPr>
          <w:p>
            <w:r>
              <w:rPr>
                <w:b w:val="false"/>
                <w:bCs w:val="false"/>
                <w:color w:val="1A1A1A"/>
              </w:rPr>
              <w:t xml:space="preserve">REST API</w:t>
            </w:r>
          </w:p>
        </w:tc>
      </w:tr>
      <w:tr>
        <w:tc>
          <w:tcPr>
            <w:tcW w:type="dxa" w:w="2400"/>
            <w:tcMar>
              <w:top w:type="dxa" w:w="80"/>
              <w:left w:type="dxa" w:w="100"/>
              <w:bottom w:type="dxa" w:w="80"/>
              <w:right w:type="dxa" w:w="100"/>
            </w:tcMar>
          </w:tcPr>
          <w:p>
            <w:r>
              <w:rPr>
                <w:b w:val="false"/>
                <w:bCs w:val="false"/>
                <w:color w:val="1A1A1A"/>
              </w:rPr>
              <w:t xml:space="preserve">Database</w:t>
            </w:r>
          </w:p>
        </w:tc>
        <w:tc>
          <w:tcPr>
            <w:tcW w:type="dxa" w:w="4200"/>
            <w:tcMar>
              <w:top w:type="dxa" w:w="80"/>
              <w:left w:type="dxa" w:w="100"/>
              <w:bottom w:type="dxa" w:w="80"/>
              <w:right w:type="dxa" w:w="100"/>
            </w:tcMar>
          </w:tcPr>
          <w:p>
            <w:r>
              <w:rPr>
                <w:b w:val="false"/>
                <w:bCs w:val="false"/>
                <w:color w:val="1A1A1A"/>
              </w:rPr>
              <w:t xml:space="preserve">PostgreSQL</w:t>
            </w:r>
          </w:p>
        </w:tc>
        <w:tc>
          <w:tcPr>
            <w:tcW w:type="dxa" w:w="6600"/>
            <w:tcMar>
              <w:top w:type="dxa" w:w="80"/>
              <w:left w:type="dxa" w:w="100"/>
              <w:bottom w:type="dxa" w:w="80"/>
              <w:right w:type="dxa" w:w="100"/>
            </w:tcMar>
          </w:tcPr>
          <w:p>
            <w:r>
              <w:rPr>
                <w:b w:val="false"/>
                <w:bCs w:val="false"/>
                <w:color w:val="1A1A1A"/>
              </w:rPr>
              <w:t xml:space="preserve">Relational — fits FK-heavy ESG data model</w:t>
            </w:r>
          </w:p>
        </w:tc>
      </w:tr>
      <w:tr>
        <w:tc>
          <w:tcPr>
            <w:tcW w:type="dxa" w:w="2400"/>
            <w:shd w:fill="EAF3EE" w:val="clear"/>
            <w:tcMar>
              <w:top w:type="dxa" w:w="80"/>
              <w:left w:type="dxa" w:w="100"/>
              <w:bottom w:type="dxa" w:w="80"/>
              <w:right w:type="dxa" w:w="100"/>
            </w:tcMar>
          </w:tcPr>
          <w:p>
            <w:r>
              <w:rPr>
                <w:b w:val="false"/>
                <w:bCs w:val="false"/>
                <w:color w:val="1A1A1A"/>
              </w:rPr>
              <w:t xml:space="preserve">ORM</w:t>
            </w:r>
          </w:p>
        </w:tc>
        <w:tc>
          <w:tcPr>
            <w:tcW w:type="dxa" w:w="4200"/>
            <w:shd w:fill="EAF3EE" w:val="clear"/>
            <w:tcMar>
              <w:top w:type="dxa" w:w="80"/>
              <w:left w:type="dxa" w:w="100"/>
              <w:bottom w:type="dxa" w:w="80"/>
              <w:right w:type="dxa" w:w="100"/>
            </w:tcMar>
          </w:tcPr>
          <w:p>
            <w:r>
              <w:rPr>
                <w:b w:val="false"/>
                <w:bCs w:val="false"/>
                <w:color w:val="1A1A1A"/>
              </w:rPr>
              <w:t xml:space="preserve">Prisma</w:t>
            </w:r>
          </w:p>
        </w:tc>
        <w:tc>
          <w:tcPr>
            <w:tcW w:type="dxa" w:w="6600"/>
            <w:shd w:fill="EAF3EE" w:val="clear"/>
            <w:tcMar>
              <w:top w:type="dxa" w:w="80"/>
              <w:left w:type="dxa" w:w="100"/>
              <w:bottom w:type="dxa" w:w="80"/>
              <w:right w:type="dxa" w:w="100"/>
            </w:tcMar>
          </w:tcPr>
          <w:p>
            <w:r>
              <w:rPr>
                <w:b w:val="false"/>
                <w:bCs w:val="false"/>
                <w:color w:val="1A1A1A"/>
              </w:rPr>
              <w:t xml:space="preserve">Fast schema iteration, migrations, seeding</w:t>
            </w:r>
          </w:p>
        </w:tc>
      </w:tr>
      <w:tr>
        <w:tc>
          <w:tcPr>
            <w:tcW w:type="dxa" w:w="2400"/>
            <w:tcMar>
              <w:top w:type="dxa" w:w="80"/>
              <w:left w:type="dxa" w:w="100"/>
              <w:bottom w:type="dxa" w:w="80"/>
              <w:right w:type="dxa" w:w="100"/>
            </w:tcMar>
          </w:tcPr>
          <w:p>
            <w:r>
              <w:rPr>
                <w:b w:val="false"/>
                <w:bCs w:val="false"/>
                <w:color w:val="1A1A1A"/>
              </w:rPr>
              <w:t xml:space="preserve">Auth</w:t>
            </w:r>
          </w:p>
        </w:tc>
        <w:tc>
          <w:tcPr>
            <w:tcW w:type="dxa" w:w="4200"/>
            <w:tcMar>
              <w:top w:type="dxa" w:w="80"/>
              <w:left w:type="dxa" w:w="100"/>
              <w:bottom w:type="dxa" w:w="80"/>
              <w:right w:type="dxa" w:w="100"/>
            </w:tcMar>
          </w:tcPr>
          <w:p>
            <w:r>
              <w:rPr>
                <w:b w:val="false"/>
                <w:bCs w:val="false"/>
                <w:color w:val="1A1A1A"/>
              </w:rPr>
              <w:t xml:space="preserve">JWT</w:t>
            </w:r>
          </w:p>
        </w:tc>
        <w:tc>
          <w:tcPr>
            <w:tcW w:type="dxa" w:w="6600"/>
            <w:tcMar>
              <w:top w:type="dxa" w:w="80"/>
              <w:left w:type="dxa" w:w="100"/>
              <w:bottom w:type="dxa" w:w="80"/>
              <w:right w:type="dxa" w:w="100"/>
            </w:tcMar>
          </w:tcPr>
          <w:p>
            <w:r>
              <w:rPr>
                <w:b w:val="false"/>
                <w:bCs w:val="false"/>
                <w:color w:val="1A1A1A"/>
              </w:rPr>
              <w:t xml:space="preserve">Role field on User: ADMIN / EMPLOYEE / MANAGER</w:t>
            </w:r>
          </w:p>
        </w:tc>
      </w:tr>
      <w:tr>
        <w:tc>
          <w:tcPr>
            <w:tcW w:type="dxa" w:w="2400"/>
            <w:shd w:fill="EAF3EE" w:val="clear"/>
            <w:tcMar>
              <w:top w:type="dxa" w:w="80"/>
              <w:left w:type="dxa" w:w="100"/>
              <w:bottom w:type="dxa" w:w="80"/>
              <w:right w:type="dxa" w:w="100"/>
            </w:tcMar>
          </w:tcPr>
          <w:p>
            <w:r>
              <w:rPr>
                <w:b w:val="false"/>
                <w:bCs w:val="false"/>
                <w:color w:val="1A1A1A"/>
              </w:rPr>
              <w:t xml:space="preserve">File Uploads (Proof)</w:t>
            </w:r>
          </w:p>
        </w:tc>
        <w:tc>
          <w:tcPr>
            <w:tcW w:type="dxa" w:w="4200"/>
            <w:shd w:fill="EAF3EE" w:val="clear"/>
            <w:tcMar>
              <w:top w:type="dxa" w:w="80"/>
              <w:left w:type="dxa" w:w="100"/>
              <w:bottom w:type="dxa" w:w="80"/>
              <w:right w:type="dxa" w:w="100"/>
            </w:tcMar>
          </w:tcPr>
          <w:p>
            <w:r>
              <w:rPr>
                <w:b w:val="false"/>
                <w:bCs w:val="false"/>
                <w:color w:val="1A1A1A"/>
              </w:rPr>
              <w:t xml:space="preserve">Local disk / simple storage for hackathon</w:t>
            </w:r>
          </w:p>
        </w:tc>
        <w:tc>
          <w:tcPr>
            <w:tcW w:type="dxa" w:w="6600"/>
            <w:shd w:fill="EAF3EE" w:val="clear"/>
            <w:tcMar>
              <w:top w:type="dxa" w:w="80"/>
              <w:left w:type="dxa" w:w="100"/>
              <w:bottom w:type="dxa" w:w="80"/>
              <w:right w:type="dxa" w:w="100"/>
            </w:tcMar>
          </w:tcPr>
          <w:p>
            <w:r>
              <w:rPr>
                <w:b w:val="false"/>
                <w:bCs w:val="false"/>
                <w:color w:val="1A1A1A"/>
              </w:rPr>
              <w:t xml:space="preserve">Swap for S3 in production</w:t>
            </w:r>
          </w:p>
        </w:tc>
      </w:tr>
      <w:tr>
        <w:tc>
          <w:tcPr>
            <w:tcW w:type="dxa" w:w="2400"/>
            <w:tcMar>
              <w:top w:type="dxa" w:w="80"/>
              <w:left w:type="dxa" w:w="100"/>
              <w:bottom w:type="dxa" w:w="80"/>
              <w:right w:type="dxa" w:w="100"/>
            </w:tcMar>
          </w:tcPr>
          <w:p>
            <w:r>
              <w:rPr>
                <w:b w:val="false"/>
                <w:bCs w:val="false"/>
                <w:color w:val="1A1A1A"/>
              </w:rPr>
              <w:t xml:space="preserve">Notifications</w:t>
            </w:r>
          </w:p>
        </w:tc>
        <w:tc>
          <w:tcPr>
            <w:tcW w:type="dxa" w:w="4200"/>
            <w:tcMar>
              <w:top w:type="dxa" w:w="80"/>
              <w:left w:type="dxa" w:w="100"/>
              <w:bottom w:type="dxa" w:w="80"/>
              <w:right w:type="dxa" w:w="100"/>
            </w:tcMar>
          </w:tcPr>
          <w:p>
            <w:r>
              <w:rPr>
                <w:b w:val="false"/>
                <w:bCs w:val="false"/>
                <w:color w:val="1A1A1A"/>
              </w:rPr>
              <w:t xml:space="preserve">In-app (DB-backed) minimum; email via Nodemailer if time allows</w:t>
            </w:r>
          </w:p>
        </w:tc>
        <w:tc>
          <w:tcPr>
            <w:tcW w:type="dxa" w:w="6600"/>
            <w:tcMar>
              <w:top w:type="dxa" w:w="80"/>
              <w:left w:type="dxa" w:w="100"/>
              <w:bottom w:type="dxa" w:w="80"/>
              <w:right w:type="dxa" w:w="100"/>
            </w:tcMar>
          </w:tcPr>
          <w:p>
            <w:r>
              <w:rPr>
                <w:b w:val="false"/>
                <w:bCs w:val="false"/>
                <w:color w:val="1A1A1A"/>
              </w:rPr>
              <w:t xml:space="preserve">Toggleable per Settings</w:t>
            </w:r>
          </w:p>
        </w:tc>
      </w:tr>
    </w:tbl>
    <w:p>
      <w:pPr>
        <w:pStyle w:val="Heading1"/>
        <w:spacing w:after="200" w:before="400"/>
      </w:pPr>
      <w:r>
        <w:rPr>
          <w:b/>
          <w:bCs/>
          <w:color w:val="1F6F4A"/>
        </w:rPr>
        <w:t xml:space="preserve">8. 8-Hour Build Plan</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8500"/>
      </w:tblGrid>
      <w:tr>
        <w:trPr>
          <w:tblHeader/>
        </w:trPr>
        <w:tc>
          <w:tcPr>
            <w:tcW w:type="dxa" w:w="900"/>
            <w:shd w:fill="1F6F4A" w:val="clear"/>
            <w:tcMar>
              <w:top w:type="dxa" w:w="80"/>
              <w:left w:type="dxa" w:w="100"/>
              <w:bottom w:type="dxa" w:w="80"/>
              <w:right w:type="dxa" w:w="100"/>
            </w:tcMar>
          </w:tcPr>
          <w:p>
            <w:r>
              <w:rPr>
                <w:b/>
                <w:bCs/>
                <w:color w:val="FFFFFF"/>
              </w:rPr>
              <w:t xml:space="preserve">Hour</w:t>
            </w:r>
          </w:p>
        </w:tc>
        <w:tc>
          <w:tcPr>
            <w:tcW w:type="dxa" w:w="3800"/>
            <w:shd w:fill="1F6F4A" w:val="clear"/>
            <w:tcMar>
              <w:top w:type="dxa" w:w="80"/>
              <w:left w:type="dxa" w:w="100"/>
              <w:bottom w:type="dxa" w:w="80"/>
              <w:right w:type="dxa" w:w="100"/>
            </w:tcMar>
          </w:tcPr>
          <w:p>
            <w:r>
              <w:rPr>
                <w:b/>
                <w:bCs/>
                <w:color w:val="FFFFFF"/>
              </w:rPr>
              <w:t xml:space="preserve">Focus</w:t>
            </w:r>
          </w:p>
        </w:tc>
        <w:tc>
          <w:tcPr>
            <w:tcW w:type="dxa" w:w="8500"/>
            <w:shd w:fill="1F6F4A" w:val="clear"/>
            <w:tcMar>
              <w:top w:type="dxa" w:w="80"/>
              <w:left w:type="dxa" w:w="100"/>
              <w:bottom w:type="dxa" w:w="80"/>
              <w:right w:type="dxa" w:w="100"/>
            </w:tcMar>
          </w:tcPr>
          <w:p>
            <w:r>
              <w:rPr>
                <w:b/>
                <w:bCs/>
                <w:color w:val="FFFFFF"/>
              </w:rPr>
              <w:t xml:space="preserve">Deliverable</w:t>
            </w:r>
          </w:p>
        </w:tc>
      </w:tr>
      <w:tr>
        <w:tc>
          <w:tcPr>
            <w:tcW w:type="dxa" w:w="900"/>
            <w:tcMar>
              <w:top w:type="dxa" w:w="80"/>
              <w:left w:type="dxa" w:w="100"/>
              <w:bottom w:type="dxa" w:w="80"/>
              <w:right w:type="dxa" w:w="100"/>
            </w:tcMar>
          </w:tcPr>
          <w:p>
            <w:r>
              <w:rPr>
                <w:b w:val="false"/>
                <w:bCs w:val="false"/>
                <w:color w:val="1A1A1A"/>
              </w:rPr>
              <w:t xml:space="preserve">1</w:t>
            </w:r>
          </w:p>
        </w:tc>
        <w:tc>
          <w:tcPr>
            <w:tcW w:type="dxa" w:w="3800"/>
            <w:tcMar>
              <w:top w:type="dxa" w:w="80"/>
              <w:left w:type="dxa" w:w="100"/>
              <w:bottom w:type="dxa" w:w="80"/>
              <w:right w:type="dxa" w:w="100"/>
            </w:tcMar>
          </w:tcPr>
          <w:p>
            <w:r>
              <w:rPr>
                <w:b w:val="false"/>
                <w:bCs w:val="false"/>
                <w:color w:val="1A1A1A"/>
              </w:rPr>
              <w:t xml:space="preserve">Setup &amp; Data Model</w:t>
            </w:r>
          </w:p>
        </w:tc>
        <w:tc>
          <w:tcPr>
            <w:tcW w:type="dxa" w:w="8500"/>
            <w:tcMar>
              <w:top w:type="dxa" w:w="80"/>
              <w:left w:type="dxa" w:w="100"/>
              <w:bottom w:type="dxa" w:w="80"/>
              <w:right w:type="dxa" w:w="100"/>
            </w:tcMar>
          </w:tcPr>
          <w:p>
            <w:r>
              <w:rPr>
                <w:b w:val="false"/>
                <w:bCs w:val="false"/>
                <w:color w:val="1A1A1A"/>
              </w:rPr>
              <w:t xml:space="preserve">Repo scaffolded, Prisma schema for all tables, DB migrated, seed script</w:t>
            </w:r>
          </w:p>
        </w:tc>
      </w:tr>
      <w:tr>
        <w:tc>
          <w:tcPr>
            <w:tcW w:type="dxa" w:w="900"/>
            <w:shd w:fill="EAF3EE" w:val="clear"/>
            <w:tcMar>
              <w:top w:type="dxa" w:w="80"/>
              <w:left w:type="dxa" w:w="100"/>
              <w:bottom w:type="dxa" w:w="80"/>
              <w:right w:type="dxa" w:w="100"/>
            </w:tcMar>
          </w:tcPr>
          <w:p>
            <w:r>
              <w:rPr>
                <w:b w:val="false"/>
                <w:bCs w:val="false"/>
                <w:color w:val="1A1A1A"/>
              </w:rPr>
              <w:t xml:space="preserve">2</w:t>
            </w:r>
          </w:p>
        </w:tc>
        <w:tc>
          <w:tcPr>
            <w:tcW w:type="dxa" w:w="3800"/>
            <w:shd w:fill="EAF3EE" w:val="clear"/>
            <w:tcMar>
              <w:top w:type="dxa" w:w="80"/>
              <w:left w:type="dxa" w:w="100"/>
              <w:bottom w:type="dxa" w:w="80"/>
              <w:right w:type="dxa" w:w="100"/>
            </w:tcMar>
          </w:tcPr>
          <w:p>
            <w:r>
              <w:rPr>
                <w:b w:val="false"/>
                <w:bCs w:val="false"/>
                <w:color w:val="1A1A1A"/>
              </w:rPr>
              <w:t xml:space="preserve">Auth + Backend Skeleton</w:t>
            </w:r>
          </w:p>
        </w:tc>
        <w:tc>
          <w:tcPr>
            <w:tcW w:type="dxa" w:w="8500"/>
            <w:shd w:fill="EAF3EE" w:val="clear"/>
            <w:tcMar>
              <w:top w:type="dxa" w:w="80"/>
              <w:left w:type="dxa" w:w="100"/>
              <w:bottom w:type="dxa" w:w="80"/>
              <w:right w:type="dxa" w:w="100"/>
            </w:tcMar>
          </w:tcPr>
          <w:p>
            <w:r>
              <w:rPr>
                <w:b w:val="false"/>
                <w:bCs w:val="false"/>
                <w:color w:val="1A1A1A"/>
              </w:rPr>
              <w:t xml:space="preserve">JWT login/signup, role middleware, route scaffolding for all modules</w:t>
            </w:r>
          </w:p>
        </w:tc>
      </w:tr>
      <w:tr>
        <w:tc>
          <w:tcPr>
            <w:tcW w:type="dxa" w:w="900"/>
            <w:tcMar>
              <w:top w:type="dxa" w:w="80"/>
              <w:left w:type="dxa" w:w="100"/>
              <w:bottom w:type="dxa" w:w="80"/>
              <w:right w:type="dxa" w:w="100"/>
            </w:tcMar>
          </w:tcPr>
          <w:p>
            <w:r>
              <w:rPr>
                <w:b w:val="false"/>
                <w:bCs w:val="false"/>
                <w:color w:val="1A1A1A"/>
              </w:rPr>
              <w:t xml:space="preserve">3</w:t>
            </w:r>
          </w:p>
        </w:tc>
        <w:tc>
          <w:tcPr>
            <w:tcW w:type="dxa" w:w="3800"/>
            <w:tcMar>
              <w:top w:type="dxa" w:w="80"/>
              <w:left w:type="dxa" w:w="100"/>
              <w:bottom w:type="dxa" w:w="80"/>
              <w:right w:type="dxa" w:w="100"/>
            </w:tcMar>
          </w:tcPr>
          <w:p>
            <w:r>
              <w:rPr>
                <w:b w:val="false"/>
                <w:bCs w:val="false"/>
                <w:color w:val="1A1A1A"/>
              </w:rPr>
              <w:t xml:space="preserve">Environmental Module</w:t>
            </w:r>
          </w:p>
        </w:tc>
        <w:tc>
          <w:tcPr>
            <w:tcW w:type="dxa" w:w="8500"/>
            <w:tcMar>
              <w:top w:type="dxa" w:w="80"/>
              <w:left w:type="dxa" w:w="100"/>
              <w:bottom w:type="dxa" w:w="80"/>
              <w:right w:type="dxa" w:w="100"/>
            </w:tcMar>
          </w:tcPr>
          <w:p>
            <w:r>
              <w:rPr>
                <w:b w:val="false"/>
                <w:bCs w:val="false"/>
                <w:color w:val="1A1A1A"/>
              </w:rPr>
              <w:t xml:space="preserve">Emission Factor &amp; Carbon Transaction CRUD, auto-calc logic, department aggregation</w:t>
            </w:r>
          </w:p>
        </w:tc>
      </w:tr>
      <w:tr>
        <w:tc>
          <w:tcPr>
            <w:tcW w:type="dxa" w:w="900"/>
            <w:shd w:fill="EAF3EE" w:val="clear"/>
            <w:tcMar>
              <w:top w:type="dxa" w:w="80"/>
              <w:left w:type="dxa" w:w="100"/>
              <w:bottom w:type="dxa" w:w="80"/>
              <w:right w:type="dxa" w:w="100"/>
            </w:tcMar>
          </w:tcPr>
          <w:p>
            <w:r>
              <w:rPr>
                <w:b w:val="false"/>
                <w:bCs w:val="false"/>
                <w:color w:val="1A1A1A"/>
              </w:rPr>
              <w:t xml:space="preserve">4</w:t>
            </w:r>
          </w:p>
        </w:tc>
        <w:tc>
          <w:tcPr>
            <w:tcW w:type="dxa" w:w="3800"/>
            <w:shd w:fill="EAF3EE" w:val="clear"/>
            <w:tcMar>
              <w:top w:type="dxa" w:w="80"/>
              <w:left w:type="dxa" w:w="100"/>
              <w:bottom w:type="dxa" w:w="80"/>
              <w:right w:type="dxa" w:w="100"/>
            </w:tcMar>
          </w:tcPr>
          <w:p>
            <w:r>
              <w:rPr>
                <w:b w:val="false"/>
                <w:bCs w:val="false"/>
                <w:color w:val="1A1A1A"/>
              </w:rPr>
              <w:t xml:space="preserve">Social Module</w:t>
            </w:r>
          </w:p>
        </w:tc>
        <w:tc>
          <w:tcPr>
            <w:tcW w:type="dxa" w:w="8500"/>
            <w:shd w:fill="EAF3EE" w:val="clear"/>
            <w:tcMar>
              <w:top w:type="dxa" w:w="80"/>
              <w:left w:type="dxa" w:w="100"/>
              <w:bottom w:type="dxa" w:w="80"/>
              <w:right w:type="dxa" w:w="100"/>
            </w:tcMar>
          </w:tcPr>
          <w:p>
            <w:r>
              <w:rPr>
                <w:b w:val="false"/>
                <w:bCs w:val="false"/>
                <w:color w:val="1A1A1A"/>
              </w:rPr>
              <w:t xml:space="preserve">CSR Activity &amp; Employee Participation CRUD, approval flow, diversity metric fields</w:t>
            </w:r>
          </w:p>
        </w:tc>
      </w:tr>
      <w:tr>
        <w:tc>
          <w:tcPr>
            <w:tcW w:type="dxa" w:w="900"/>
            <w:tcMar>
              <w:top w:type="dxa" w:w="80"/>
              <w:left w:type="dxa" w:w="100"/>
              <w:bottom w:type="dxa" w:w="80"/>
              <w:right w:type="dxa" w:w="100"/>
            </w:tcMar>
          </w:tcPr>
          <w:p>
            <w:r>
              <w:rPr>
                <w:b w:val="false"/>
                <w:bCs w:val="false"/>
                <w:color w:val="1A1A1A"/>
              </w:rPr>
              <w:t xml:space="preserve">5</w:t>
            </w:r>
          </w:p>
        </w:tc>
        <w:tc>
          <w:tcPr>
            <w:tcW w:type="dxa" w:w="3800"/>
            <w:tcMar>
              <w:top w:type="dxa" w:w="80"/>
              <w:left w:type="dxa" w:w="100"/>
              <w:bottom w:type="dxa" w:w="80"/>
              <w:right w:type="dxa" w:w="100"/>
            </w:tcMar>
          </w:tcPr>
          <w:p>
            <w:r>
              <w:rPr>
                <w:b w:val="false"/>
                <w:bCs w:val="false"/>
                <w:color w:val="1A1A1A"/>
              </w:rPr>
              <w:t xml:space="preserve">Governance Module</w:t>
            </w:r>
          </w:p>
        </w:tc>
        <w:tc>
          <w:tcPr>
            <w:tcW w:type="dxa" w:w="8500"/>
            <w:tcMar>
              <w:top w:type="dxa" w:w="80"/>
              <w:left w:type="dxa" w:w="100"/>
              <w:bottom w:type="dxa" w:w="80"/>
              <w:right w:type="dxa" w:w="100"/>
            </w:tcMar>
          </w:tcPr>
          <w:p>
            <w:r>
              <w:rPr>
                <w:b w:val="false"/>
                <w:bCs w:val="false"/>
                <w:color w:val="1A1A1A"/>
              </w:rPr>
              <w:t xml:space="preserve">Policy, Policy Acknowledgement, Audit, Compliance Issue CRUD, overdue flagging</w:t>
            </w:r>
          </w:p>
        </w:tc>
      </w:tr>
      <w:tr>
        <w:tc>
          <w:tcPr>
            <w:tcW w:type="dxa" w:w="900"/>
            <w:shd w:fill="EAF3EE" w:val="clear"/>
            <w:tcMar>
              <w:top w:type="dxa" w:w="80"/>
              <w:left w:type="dxa" w:w="100"/>
              <w:bottom w:type="dxa" w:w="80"/>
              <w:right w:type="dxa" w:w="100"/>
            </w:tcMar>
          </w:tcPr>
          <w:p>
            <w:r>
              <w:rPr>
                <w:b w:val="false"/>
                <w:bCs w:val="false"/>
                <w:color w:val="1A1A1A"/>
              </w:rPr>
              <w:t xml:space="preserve">6</w:t>
            </w:r>
          </w:p>
        </w:tc>
        <w:tc>
          <w:tcPr>
            <w:tcW w:type="dxa" w:w="3800"/>
            <w:shd w:fill="EAF3EE" w:val="clear"/>
            <w:tcMar>
              <w:top w:type="dxa" w:w="80"/>
              <w:left w:type="dxa" w:w="100"/>
              <w:bottom w:type="dxa" w:w="80"/>
              <w:right w:type="dxa" w:w="100"/>
            </w:tcMar>
          </w:tcPr>
          <w:p>
            <w:r>
              <w:rPr>
                <w:b w:val="false"/>
                <w:bCs w:val="false"/>
                <w:color w:val="1A1A1A"/>
              </w:rPr>
              <w:t xml:space="preserve">Gamification Module</w:t>
            </w:r>
          </w:p>
        </w:tc>
        <w:tc>
          <w:tcPr>
            <w:tcW w:type="dxa" w:w="8500"/>
            <w:shd w:fill="EAF3EE" w:val="clear"/>
            <w:tcMar>
              <w:top w:type="dxa" w:w="80"/>
              <w:left w:type="dxa" w:w="100"/>
              <w:bottom w:type="dxa" w:w="80"/>
              <w:right w:type="dxa" w:w="100"/>
            </w:tcMar>
          </w:tcPr>
          <w:p>
            <w:r>
              <w:rPr>
                <w:b w:val="false"/>
                <w:bCs w:val="false"/>
                <w:color w:val="1A1A1A"/>
              </w:rPr>
              <w:t xml:space="preserve">Challenges + lifecycle, XP award, Badge auto-award, Reward redemption, Leaderboard</w:t>
            </w:r>
          </w:p>
        </w:tc>
      </w:tr>
      <w:tr>
        <w:tc>
          <w:tcPr>
            <w:tcW w:type="dxa" w:w="900"/>
            <w:tcMar>
              <w:top w:type="dxa" w:w="80"/>
              <w:left w:type="dxa" w:w="100"/>
              <w:bottom w:type="dxa" w:w="80"/>
              <w:right w:type="dxa" w:w="100"/>
            </w:tcMar>
          </w:tcPr>
          <w:p>
            <w:r>
              <w:rPr>
                <w:b w:val="false"/>
                <w:bCs w:val="false"/>
                <w:color w:val="1A1A1A"/>
              </w:rPr>
              <w:t xml:space="preserve">7</w:t>
            </w:r>
          </w:p>
        </w:tc>
        <w:tc>
          <w:tcPr>
            <w:tcW w:type="dxa" w:w="3800"/>
            <w:tcMar>
              <w:top w:type="dxa" w:w="80"/>
              <w:left w:type="dxa" w:w="100"/>
              <w:bottom w:type="dxa" w:w="80"/>
              <w:right w:type="dxa" w:w="100"/>
            </w:tcMar>
          </w:tcPr>
          <w:p>
            <w:r>
              <w:rPr>
                <w:b w:val="false"/>
                <w:bCs w:val="false"/>
                <w:color w:val="1A1A1A"/>
              </w:rPr>
              <w:t xml:space="preserve">Scoring Engine + Dashboard + Reports</w:t>
            </w:r>
          </w:p>
        </w:tc>
        <w:tc>
          <w:tcPr>
            <w:tcW w:type="dxa" w:w="8500"/>
            <w:tcMar>
              <w:top w:type="dxa" w:w="80"/>
              <w:left w:type="dxa" w:w="100"/>
              <w:bottom w:type="dxa" w:w="80"/>
              <w:right w:type="dxa" w:w="100"/>
            </w:tcMar>
          </w:tcPr>
          <w:p>
            <w:r>
              <w:rPr>
                <w:b w:val="false"/>
                <w:bCs w:val="false"/>
                <w:color w:val="1A1A1A"/>
              </w:rPr>
              <w:t xml:space="preserve">Score calculation pipeline, dashboard API + charts, CSV/PDF export</w:t>
            </w:r>
          </w:p>
        </w:tc>
      </w:tr>
      <w:tr>
        <w:tc>
          <w:tcPr>
            <w:tcW w:type="dxa" w:w="900"/>
            <w:shd w:fill="EAF3EE" w:val="clear"/>
            <w:tcMar>
              <w:top w:type="dxa" w:w="80"/>
              <w:left w:type="dxa" w:w="100"/>
              <w:bottom w:type="dxa" w:w="80"/>
              <w:right w:type="dxa" w:w="100"/>
            </w:tcMar>
          </w:tcPr>
          <w:p>
            <w:r>
              <w:rPr>
                <w:b w:val="false"/>
                <w:bCs w:val="false"/>
                <w:color w:val="1A1A1A"/>
              </w:rPr>
              <w:t xml:space="preserve">8</w:t>
            </w:r>
          </w:p>
        </w:tc>
        <w:tc>
          <w:tcPr>
            <w:tcW w:type="dxa" w:w="3800"/>
            <w:shd w:fill="EAF3EE" w:val="clear"/>
            <w:tcMar>
              <w:top w:type="dxa" w:w="80"/>
              <w:left w:type="dxa" w:w="100"/>
              <w:bottom w:type="dxa" w:w="80"/>
              <w:right w:type="dxa" w:w="100"/>
            </w:tcMar>
          </w:tcPr>
          <w:p>
            <w:r>
              <w:rPr>
                <w:b w:val="false"/>
                <w:bCs w:val="false"/>
                <w:color w:val="1A1A1A"/>
              </w:rPr>
              <w:t xml:space="preserve">Polish + Demo Prep</w:t>
            </w:r>
          </w:p>
        </w:tc>
        <w:tc>
          <w:tcPr>
            <w:tcW w:type="dxa" w:w="8500"/>
            <w:shd w:fill="EAF3EE" w:val="clear"/>
            <w:tcMar>
              <w:top w:type="dxa" w:w="80"/>
              <w:left w:type="dxa" w:w="100"/>
              <w:bottom w:type="dxa" w:w="80"/>
              <w:right w:type="dxa" w:w="100"/>
            </w:tcMar>
          </w:tcPr>
          <w:p>
            <w:r>
              <w:rPr>
                <w:b w:val="false"/>
                <w:bCs w:val="false"/>
                <w:color w:val="1A1A1A"/>
              </w:rPr>
              <w:t xml:space="preserve">Bug fixes, realistic seed data, full run-through of demo flow</w:t>
            </w:r>
          </w:p>
        </w:tc>
      </w:tr>
    </w:tbl>
    <w:p>
      <w:pPr>
        <w:pStyle w:val="Heading1"/>
        <w:spacing w:after="200" w:before="400"/>
      </w:pPr>
      <w:r>
        <w:rPr>
          <w:b/>
          <w:bCs/>
          <w:color w:val="1F6F4A"/>
        </w:rPr>
        <w:t xml:space="preserve">9. Success Criteria for Demo</w:t>
      </w:r>
    </w:p>
    <w:p>
      <w:pPr>
        <w:pStyle w:val="ListParagraph"/>
        <w:numPr>
          <w:ilvl w:val="0"/>
          <w:numId w:val="2"/>
        </w:numPr>
        <w:spacing w:after="60"/>
      </w:pPr>
      <w:r>
        <w:t xml:space="preserve">A judge can log in as Admin, see the org-wide ESG dashboard with real (seeded) numbers.</w:t>
      </w:r>
    </w:p>
    <w:p>
      <w:pPr>
        <w:pStyle w:val="ListParagraph"/>
        <w:numPr>
          <w:ilvl w:val="0"/>
          <w:numId w:val="2"/>
        </w:numPr>
        <w:spacing w:after="60"/>
      </w:pPr>
      <w:r>
        <w:t xml:space="preserve">A judge can log in as Employee, join a Challenge, submit proof, and see XP/Badge update.</w:t>
      </w:r>
    </w:p>
    <w:p>
      <w:pPr>
        <w:pStyle w:val="ListParagraph"/>
        <w:numPr>
          <w:ilvl w:val="0"/>
          <w:numId w:val="2"/>
        </w:numPr>
        <w:spacing w:after="60"/>
      </w:pPr>
      <w:r>
        <w:t xml:space="preserve">Approving a CSR/Challenge submission visibly updates the employee's score and the Leaderboard.</w:t>
      </w:r>
    </w:p>
    <w:p>
      <w:pPr>
        <w:pStyle w:val="ListParagraph"/>
        <w:numPr>
          <w:ilvl w:val="0"/>
          <w:numId w:val="2"/>
        </w:numPr>
        <w:spacing w:after="60"/>
      </w:pPr>
      <w:r>
        <w:t xml:space="preserve">A Compliance Issue past its Due Date visibly shows as flagged/overdue.</w:t>
      </w:r>
    </w:p>
    <w:p>
      <w:pPr>
        <w:pStyle w:val="ListParagraph"/>
        <w:numPr>
          <w:ilvl w:val="0"/>
          <w:numId w:val="2"/>
        </w:numPr>
        <w:spacing w:after="60"/>
      </w:pPr>
      <w:r>
        <w:t xml:space="preserve">At least one report can be exported (CSV minimum).</w:t>
      </w:r>
    </w:p>
    <w:p>
      <w:pPr>
        <w:pStyle w:val="ListParagraph"/>
        <w:numPr>
          <w:ilvl w:val="0"/>
          <w:numId w:val="2"/>
        </w:numPr>
        <w:spacing w:after="60"/>
      </w:pPr>
      <w:r>
        <w:t xml:space="preserve">Overall ESG Score updates when underlying department scores change (proves the weighted roll-up works, not just a hardcoded number).</w:t>
      </w:r>
    </w:p>
    <w:p>
      <w:pPr>
        <w:pStyle w:val="Heading1"/>
        <w:spacing w:after="200" w:before="400"/>
      </w:pPr>
      <w:r>
        <w:rPr>
          <w:b/>
          <w:bCs/>
          <w:color w:val="1F6F4A"/>
        </w:rPr>
        <w:t xml:space="preserve">10. Bonus Ideas (If Time Remains)</w:t>
      </w:r>
    </w:p>
    <w:p>
      <w:pPr>
        <w:pStyle w:val="ListParagraph"/>
        <w:numPr>
          <w:ilvl w:val="0"/>
          <w:numId w:val="2"/>
        </w:numPr>
        <w:spacing w:after="60"/>
      </w:pPr>
      <w:r>
        <w:t xml:space="preserve">Department ESG rankings view.</w:t>
      </w:r>
    </w:p>
    <w:p>
      <w:pPr>
        <w:pStyle w:val="ListParagraph"/>
        <w:numPr>
          <w:ilvl w:val="0"/>
          <w:numId w:val="2"/>
        </w:numPr>
        <w:spacing w:after="60"/>
      </w:pPr>
      <w:r>
        <w:t xml:space="preserve">Richer dashboard visualizations (trend lines, comparisons).</w:t>
      </w:r>
    </w:p>
    <w:p>
      <w:pPr>
        <w:pStyle w:val="ListParagraph"/>
        <w:numPr>
          <w:ilvl w:val="0"/>
          <w:numId w:val="2"/>
        </w:numPr>
        <w:spacing w:after="60"/>
      </w:pPr>
      <w:r>
        <w:t xml:space="preserve">Mobile-responsive polish.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2026-07-12T03:56:22.485Z</dcterms:created>
  <dcterms:modified xsi:type="dcterms:W3CDTF">2026-07-12T03:56:22.499Z</dcterms:modified>
</cp:coreProperties>
</file>

<file path=docProps/custom.xml><?xml version="1.0" encoding="utf-8"?>
<Properties xmlns="http://schemas.openxmlformats.org/officeDocument/2006/custom-properties" xmlns:vt="http://schemas.openxmlformats.org/officeDocument/2006/docPropsVTypes"/>
</file>