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MottaGo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75623"/>
          <w:sz w:val="30"/>
          <w:szCs w:val="30"/>
        </w:rPr>
        <w:t xml:space="preserve">Visual Validation Stage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High-Fidelity Visual Design Specification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78350F"/>
          <w:sz w:val="44"/>
          <w:szCs w:val="44"/>
        </w:rPr>
        <w:t xml:space="preserve">SCR-M-04 — Request Pickup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Tema: Bumi Tenang  ·  Aksen: Daun Segar  ·  Navigasi: Dark Sidebar Variant  ·  Layout: LT-04 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Role: Manajer Restoran  ·  FR-M-05, FR-M-06  ·  Form Pattern: FP-01  ·  Identitas: Professional Sustainability Enterprise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2026-06-18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AWAITING APPROVAL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Screen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SCR-M-04 Request Pickup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User Journey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Dashboard → SCR-M-02 Monitoring Kapasitas → SCR-M-04 Request Pickup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Sumber Visual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Phase3C_VisualDesign_MottaGo_v1.1 + SCR-M-01 v1.1 + SCR-M-02 v1.1 + approved-dashboard-reference.jpeg</w:t>
            </w:r>
          </w:p>
        </w:tc>
      </w:tr>
      <w:tr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Design Freeze</w:t>
            </w:r>
          </w:p>
        </w:tc>
        <w:tc>
          <w:tcPr>
            <w:tcW w:type="dxa" w:w="7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Phase3C v1.1 — FROZEN. Tidak ada perubahan visual language di dokumen ini.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1. Screen Purpose &amp; Navigation Context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2. Layout Structure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3. Component Placement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4. Information Hierarchy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5. Pickup Request Form Section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6. Vendor Selection Section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7. Pickup Schedule Section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8. Waste Summary Section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9. Validation, Confirmation &amp; Error States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10. Desktop Layout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11. Tablet Layout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12. Mobile Layout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13. Accessibility Considerations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14. Design Rationale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15. Verification Report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Screen Purpose &amp; Navigation Context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Deskripsi Screen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ID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SCR-M-04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Nama Screen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 Pickup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Role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Manajer Restoran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Tujuan bisnis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Memungkinkan Manajer membuat dan mengirimkan permintaan pengambilan waste kepada vendor terdaftar ketika kapasitas mencapai ambang operasional.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Tujuan UX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Memberikan pengalaman pengisian form yang efisien, jelas, dan mudah — manajer harus dapat menyelesaikan satu Request Pickup dalam ≤3 menit.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FR-M-05 (Form Request Pickup) · FR-M-06 (Vendor Assignment) · FR-M-04 (Threshold trigger) · US-M-03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Entry points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CTA 'Request Pickup' dari SCR-M-01 (kapasitas ≥60%) · 2. CTA 'Request Pickup Sekarang' dari SCR-M-02 alert banner (kapasitas kritis) · 3. SideNav item 'Request Pickup' · 4. Deep link dari notifikasi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Exit points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SCR-M-02 (setelah submit berhasil — kembali ke monitoring) · SCR-M-01 (batalkan / kembali ke dashboard) · SCR-M-05 Riwayat Pickup (link dari konfirmasi sukses)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 type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— AppHeader + Dark SideNav + Form Content Area (single column, max-width 720px, centered)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pattern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FP-01 — Multi-section single page form dengan sticky summary sidebar; progressive disclosure untuk bagian opsional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Navigation Context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Konteks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item aktif</w:t>
            </w:r>
          </w:p>
        </w:tc>
        <w:tc>
          <w:tcPr>
            <w:tcW w:type="dxa" w:w="6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'Request Pickup' — border kiri #22C55E; bg #375623; teks #E5F3DC 14px/600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Breadcrumb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'Request Pickup' di AppHeader title; jika via SCR-M-02: 'Monitoring Kapasitas / Request Pickup'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 banner</w:t>
            </w:r>
          </w:p>
        </w:tc>
        <w:tc>
          <w:tcPr>
            <w:tcW w:type="dxa" w:w="6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Jika dipanggil dari alert kapasitas: tampilkan context strip 'Membuat request dari kapasitas X% — [nama store]' di bawah AppHeader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 navigation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'← Kembali' di atas form card; kembali ke screen sebelumnya (SCR-M-01 atau SCR-M-02)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Layout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SCR-M-04 menggunakan LT-04 Form Layout — varian dari LT-03. AppHeader dan SideNav identik. Perbedaan: main content menggunakan single-column form area (max-width 720px, centered) dengan sticky Waste Summary sidebar (280px) di desktop. Layout form tidak menggunakan multi-column data grid seperti SCR-M-01/02.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Zone 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100vw × 64px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COMP-19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240px × calc(100vh-64px)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COMP-21 — Dark Variant</w:t>
            </w:r>
          </w:p>
        </w:tc>
      </w:tr>
      <w:tr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Content Area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calc(100vw-240px-280px); max 720px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#F9FAFB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Multi-section form cards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Summary Sidebar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280px; sticky; top 96px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Waste Summary + Submit CTA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Padding konten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32px top/bottom; 24px kiri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Form Section Stack (top → bottom)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Urutan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Komponen Utama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Tinggi aprox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Page Header + Context Banner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h1 + context strip (conditional)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 Pickup Request Form</w:t>
            </w:r>
          </w:p>
        </w:tc>
        <w:tc>
          <w:tcPr>
            <w:tcW w:type="dxa" w:w="3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card — type, notes, quantity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 Vendor Selection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card list / dropdown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§7 Pickup Schedule</w:t>
            </w:r>
          </w:p>
        </w:tc>
        <w:tc>
          <w:tcPr>
            <w:tcW w:type="dxa" w:w="3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DatePicker + time preference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Actions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Batal + Submit button bar</w:t>
            </w:r>
          </w:p>
        </w:tc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72px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Component Placement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AppHeader (COMP-19)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 (--color-role-manajer-bg) — identik SCR-M-01/02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kiri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Logo MottaGo + separator + page title 'Request Pickup' 16px/600/#78350F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 kanan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Nama user + role badge 'Manajer' + COMP-14 NotificationBadge + avatar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SideNav (COMP-21) — Dark Variant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 — identik SCR-M-01/02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Item aktif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'Request Pickup' — bg #375623; border-left 3px #22C55E; teks #E5F3DC 14px/600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Urutan nav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Dashboard · 2. Monitoring Kapasitas · 3. Laporan · 4. Request Pickup (AKTIF) · 5. Riwayat Pickup · 6. Pengaturan Store · 7. Manajemen Vendor [SH]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Context Banner (Conditional)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Muncul hanya jika SCR-M-04 dipanggil dari SCR-M-02 alert atau CTA kapasitas — bukan saat dibuka langsung dari SideNav.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Full-width strip tepat di bawah AppHeader; di atas form content area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color: #FEF3C7 (Perlu Perhatian) / #FEE2E2 (Kritis)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'⚡ Membuat pickup karena kapasitas [X]% — [Nama Store]' — 13px/500/threshold-text-color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40px; padding 0 32px; border-bottom 1px threshold-color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Form Card (COMP-22 pattern)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#E5E7EB; radius 8px; padding 24px; shadow-sm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 header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16px/600/#111827; border-bottom 1px #E5E7EB; padding-bottom 16px; margin-bottom 20px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 antar field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Gap antar card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style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13px/500/#374151; margin-bottom 6px; required asterisk: 13px/#EF4444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Input default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14px/400/#111827; border 1px #D1D5DB; radius 6px; height 40px; padding 0 12px; bg #FFFFFF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Input focus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2px #22C55E (--border-focus = Daun Segar); box-shadow 0 0 0 3px rgba(34,197,94,0.15); outline none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Input disabled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bg #F9FAFB; border #E5E7EB; teks #9CA3AF; cursor not-allowed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Helper text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12px/400/#6B7280; margin-top 4px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Waste Summary Sidebar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Fixed kanan; top 96px; width 280px; padding 20px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#E5E7EB; radius 8px; shadow-md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Ringkasan form real-time (§8) + Submit CTA + Batal link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Sticky behavior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Melekat saat scroll; berhenti sebelum footer; tidak overlap AppHeader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Information Hierarchy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Priority Level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43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Treatment</w:t>
            </w:r>
          </w:p>
        </w:tc>
      </w:tr>
      <w:tr>
        <w:tc>
          <w:tcPr>
            <w:tcW w:type="dxa" w:w="7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12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8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validation errors + Submit button state</w:t>
            </w:r>
          </w:p>
        </w:tc>
        <w:tc>
          <w:tcPr>
            <w:tcW w:type="dxa" w:w="43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border #EF4444; error message merah; Submit disabled sampai valid</w:t>
            </w:r>
          </w:p>
        </w:tc>
      </w:tr>
      <w:tr>
        <w:tc>
          <w:tcPr>
            <w:tcW w:type="dxa" w:w="7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2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Tombol Submit 'Kirim Request Pickup'</w:t>
            </w:r>
          </w:p>
        </w:tc>
        <w:tc>
          <w:tcPr>
            <w:tcW w:type="dxa" w:w="43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 button #22C55E full-width; 48px; 16px/700; sticky di sidebar</w:t>
            </w:r>
          </w:p>
        </w:tc>
      </w:tr>
      <w:tr>
        <w:tc>
          <w:tcPr>
            <w:tcW w:type="dxa" w:w="7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P3</w:t>
            </w:r>
          </w:p>
        </w:tc>
        <w:tc>
          <w:tcPr>
            <w:tcW w:type="dxa" w:w="12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</w:t>
            </w:r>
          </w:p>
        </w:tc>
        <w:tc>
          <w:tcPr>
            <w:tcW w:type="dxa" w:w="28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fields wajib (required)</w:t>
            </w:r>
          </w:p>
        </w:tc>
        <w:tc>
          <w:tcPr>
            <w:tcW w:type="dxa" w:w="43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asterisk merah; focus ring #22C55E; card section header 16px/600</w:t>
            </w:r>
          </w:p>
        </w:tc>
      </w:tr>
      <w:tr>
        <w:tc>
          <w:tcPr>
            <w:tcW w:type="dxa" w:w="7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P4</w:t>
            </w:r>
          </w:p>
        </w:tc>
        <w:tc>
          <w:tcPr>
            <w:tcW w:type="dxa" w:w="12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Tertiary</w:t>
            </w:r>
          </w:p>
        </w:tc>
        <w:tc>
          <w:tcPr>
            <w:tcW w:type="dxa" w:w="28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fields opsional + helper text</w:t>
            </w:r>
          </w:p>
        </w:tc>
        <w:tc>
          <w:tcPr>
            <w:tcW w:type="dxa" w:w="43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normal 13px/500; helper 12px/400/#6B7280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P5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 banner + metadata kapasitas saat ini</w:t>
            </w:r>
          </w:p>
        </w:tc>
        <w:tc>
          <w:tcPr>
            <w:tcW w:type="dxa" w:w="43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13px/400/threshold-color; subtle strip di atas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Form Reading 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Pengguna datang dengan konteks (kapasitas kritis / perlu perhatian) — context banner mengkonfirmasi alasan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1 — Pickup Request Form: isian dasar yang selalu diperlukan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2 — Vendor Selection: memilih siapa yang melakukan pickup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Section 3 — Pickup Schedule: kapan pickup dilakukan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Summary Sidebar: konfirmasi visual real-time sebelum submit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CTA: selalu visible di sidebar; state disabled → enabled seiring form terisi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Pickup Request Form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Card pertama dalam form. Berisi field wajib untuk mendefinisikan permintaan pickup: jenis waste, estimasi berat, dan catatan tambahan. Semua field mengikuti form styling Phase 3C v1.1.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Card Header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card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'Informasi Pickup' — 16px/600/#111827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Nomor section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'1 dari 3' — 12px/400/#9CA3AF; kanan header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Field Specifications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3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1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Jenis Waste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Select</w:t>
            </w:r>
          </w:p>
        </w:tc>
        <w:tc>
          <w:tcPr>
            <w:tcW w:type="dxa" w:w="7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</w:t>
            </w:r>
          </w:p>
        </w:tc>
        <w:tc>
          <w:tcPr>
            <w:tcW w:type="dxa" w:w="53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COMP-02 SelectDropdown; opsi: Sisa Makanan · Sayuran/Buah · Minyak/Lemak · Kemasan Kotor · Campuran · Lainnya; placeholder 'Pilih jenis waste'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Estimasi Berat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</w:t>
            </w:r>
          </w:p>
        </w:tc>
        <w:tc>
          <w:tcPr>
            <w:tcW w:type="dxa" w:w="53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COMP-01 TextInput; type=number; min=1; satuan 'kg' sebagai suffix inline; placeholder '0'; helper 'Perkiraan berat waste yang akan diambil'</w:t>
            </w:r>
          </w:p>
        </w:tc>
      </w:tr>
      <w:tr>
        <w:tc>
          <w:tcPr>
            <w:tcW w:type="dxa" w:w="1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Jumlah Wadah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7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</w:t>
            </w:r>
          </w:p>
        </w:tc>
        <w:tc>
          <w:tcPr>
            <w:tcW w:type="dxa" w:w="53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COMP-01; type=number; min=1; satuan 'unit' suffix; helper 'Jumlah kantong, drum, atau kontainer (opsional)'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Kondisi Waste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 group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</w:t>
            </w:r>
          </w:p>
        </w:tc>
        <w:tc>
          <w:tcPr>
            <w:tcW w:type="dxa" w:w="53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COMP-05 RadioButton; opsi: 'Normal' · 'Berbau' · 'Cair/Tumpah' · 'Berbahaya'; layout 2-kolom; default: 'Normal'</w:t>
            </w:r>
          </w:p>
        </w:tc>
      </w:tr>
      <w:tr>
        <w:tc>
          <w:tcPr>
            <w:tcW w:type="dxa" w:w="1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Catatan Tambahan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Textarea</w:t>
            </w:r>
          </w:p>
        </w:tc>
        <w:tc>
          <w:tcPr>
            <w:tcW w:type="dxa" w:w="7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</w:t>
            </w:r>
          </w:p>
        </w:tc>
        <w:tc>
          <w:tcPr>
            <w:tcW w:type="dxa" w:w="53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COMP-04 TextArea; rows=3; maxlength=500; counter karakter 'X/500'; placeholder 'Instruksi khusus untuk vendor (opsional)'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Prioritas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 group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</w:t>
            </w:r>
          </w:p>
        </w:tc>
        <w:tc>
          <w:tcPr>
            <w:tcW w:type="dxa" w:w="53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COMP-05; opsi: 'Normal' (default) · 'Segera (dalam 24 jam)' · 'Darurat (hari ini)'; layout horizontal; Darurat menampilkan icon ⚠ amber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Kapasitas Context (Read-Only)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Data kapasitas saat ini ditampilkan sebagai referensi read-only di bawah field — bukan input. Manajer tidak dapat mengubah nilai kapasitas dari sini.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Kapasitas saat ini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Strip info '#F9FAFB bg; border 1px #E5E7EB; radius 6px; padding 12px 16px' — teks: 'Kapasitas saat ini: X% (Y kg dari Z kg)' 13px/500; badge threshold color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ke SCR-M-02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'Lihat detail kapasitas →' 12px/400/#22C55E; inline link; buka SCR-M-02 di tab baru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Vendor Selection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Card kedua dalam form. Manajer memilih vendor dari daftar vendor terdaftar. Vendor list bersumber dari data sistem (FR-M-06). Jika tidak ada vendor aktif, muncul empty state + link ke SCR-M-07 Manajemen Vendor [SH].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Card Header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card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'Pilih Vendor' — 16px/600/#111827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Nomor section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'2 dari 3' — 12px/400/#9CA3AF; kanan header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Vendor List — Card Selection Pattern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Kontainer vendor item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Card: border 2px #E5E7EB; radius 8px; padding 16px; cursor pointer; hover bg #F9FAFB; transition 150ms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item — selected</w:t>
            </w:r>
          </w:p>
        </w:tc>
        <w:tc>
          <w:tcPr>
            <w:tcW w:type="dxa" w:w="6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2px #22C55E; bg #F0FDF4; checkmark icon kanan atas 20px/#22C55E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Nama vendor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16px/600/#111827; baris pertama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Tipe layanan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12px/400/#6B7280; chip kecil 'Organik' / 'Umum' / 'B3' — bg #F3F4F6; radius full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Rating / histori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Bintang ★ 14px/#F59E0B + 'X pickup selesai' 12px/#6B7280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ketersediaan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'Tersedia' (#22C55E) / 'Sibuk' (#F59E0B) / 'Tidak Aktif' (#9CA3AF) — top right corner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Kontak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Nomor telepon 12px/#6B7280; icon phone 12px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Grid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kolom desktop; 1 kolom mobile/tablet; gap 12px; max 6 vendor ditampilkan; 'Lihat semua →' jika lebih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Empty State — Tidak Ada Vendor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vendor terdaftar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Illustration organik kecil (aria-hidden) + teks 'Belum ada vendor terdaftar' 14px/400/#6B7280 + link 'Tambah vendor →' ke SCR-M-07 [SH]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Semua vendor tidak aktif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Daftar ditampilkan dengan badge 'Tidak Aktif' + warning strip amber 'Tidak ada vendor yang tersedia saat ini'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Pickup Schedule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Card ketiga dalam form. Manajer memilih tanggal dan preferensi waktu pickup. DatePicker menggunakan COMP-03 dari Phase 3B component library.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Card Header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Judul card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'Jadwal Pickup' — 16px/600/#111827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Nomor section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'3 dari 3' — 12px/400/#9CA3AF; kanan header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Field Specifications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7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3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1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 Pickup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DatePicker</w:t>
            </w:r>
          </w:p>
        </w:tc>
        <w:tc>
          <w:tcPr>
            <w:tcW w:type="dxa" w:w="7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</w:t>
            </w:r>
          </w:p>
        </w:tc>
        <w:tc>
          <w:tcPr>
            <w:tcW w:type="dxa" w:w="53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COMP-03; min: hari ini+1; max: 14 hari ke depan; format DD/MM/YYYY; calendar popup; hari libur dinonaktifkan jika dikonfigurasi</w:t>
            </w:r>
          </w:p>
        </w:tc>
      </w:tr>
      <w:tr>
        <w:tc>
          <w:tcPr>
            <w:tcW w:type="dxa" w:w="18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Preferensi Waktu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 group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</w:t>
            </w:r>
          </w:p>
        </w:tc>
        <w:tc>
          <w:tcPr>
            <w:tcW w:type="dxa" w:w="53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COMP-05; opsi: 'Pagi (07:00–12:00)' · 'Siang (12:00–17:00)' · 'Sore (17:00–20:00)'; layout horizontal; helper 'Jadwal final dikonfirmasi vendor'</w:t>
            </w:r>
          </w:p>
        </w:tc>
      </w:tr>
      <w:tr>
        <w:tc>
          <w:tcPr>
            <w:tcW w:type="dxa" w:w="18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Fleksibilitas</w:t>
            </w:r>
          </w:p>
        </w:tc>
        <w:tc>
          <w:tcPr>
            <w:tcW w:type="dxa" w:w="12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Checkbox</w:t>
            </w:r>
          </w:p>
        </w:tc>
        <w:tc>
          <w:tcPr>
            <w:tcW w:type="dxa" w:w="7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</w:t>
            </w:r>
          </w:p>
        </w:tc>
        <w:tc>
          <w:tcPr>
            <w:tcW w:type="dxa" w:w="53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COMP-06; label 'Saya fleksibel dengan jadwal — vendor dapat mengusulkan waktu lain'; default unchecked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Jadwal Display — Jika Prioritas 'Darurat'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Jika field Prioritas (§5.2) dipilih 'Darurat (hari ini)', Pickup Schedule section secara otomatis menetapkan tanggal = hari ini dan menampilkan pesan khusus — Manajer tidak perlu memilih tanggal.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30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 (auto)</w:t>
            </w:r>
          </w:p>
        </w:tc>
        <w:tc>
          <w:tcPr>
            <w:tcW w:type="dxa" w:w="6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Diisi otomatis = hari ini; field disabled (read-only visual); border #EF4444</w:t>
            </w:r>
          </w:p>
        </w:tc>
      </w:tr>
      <w:tr>
        <w:tc>
          <w:tcPr>
            <w:tcW w:type="dxa" w:w="30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Pesan darurat</w:t>
            </w:r>
          </w:p>
        </w:tc>
        <w:tc>
          <w:tcPr>
            <w:tcW w:type="dxa" w:w="6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'⚠ Request Darurat: vendor akan dihubungi secepatnya' — 13px/600/#991B1B; bg #FEE2E2; radius 6px; padding 10px 14px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Preferensi waktu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Disabled — digantikan oleh flag darurat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Waste Summary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Sidebar kanan (sticky, desktop only). Menampilkan ringkasan real-time dari form sebelum submit. Di mobile/tablet, Waste Summary muncul sebagai section expandable di bawah card terakhir.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Summary Sidebar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Header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'Ringkasan Request' — 15px/600/#111827; border-bottom 1px #E5E7EB; pb 12px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Jenis Waste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12px/#9CA3AF 'Jenis' + nilai 14px/500/#111827; '—' jika belum diisi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Estimasi Berat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12px/#9CA3AF 'Berat' + nilai 14px/500/#111827 'X kg'; '—' jika belum diisi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12px/#9CA3AF 'Vendor' + nama vendor 14px/500/#111827; badge status; '—' jika belum dipilih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 Pickup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12px/#9CA3AF 'Tanggal' + DD/MM/YYYY 14px/500/#111827; '—' jika belum dipilih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Waktu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Label 12px/#9CA3AF 'Waktu' + preferensi waktu 14px/500/#111827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Prioritas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Badge 'Normal' (#6B7280) / 'Segera' (#F59E0B) / 'Darurat' (#EF4444) — 12px/600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Divider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1px solid #E5E7EB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6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'Kirim Request Pickup' — Primary #22C55E; 48px; full-width; radius 8px; 16px/700/#FFFFFF; disabled: bg #D1FAE5 opacity 0.6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 enabled</w:t>
            </w:r>
          </w:p>
        </w:tc>
        <w:tc>
          <w:tcPr>
            <w:tcW w:type="dxa" w:w="6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Hanya enabled jika: Jenis Waste ✓ + Estimasi Berat ✓ + Kondisi ✓ + Vendor dipilih ✓ + Tanggal dipilih ✓ + Waktu dipilih ✓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Batal link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'Batal' — 14px/400/#6B7280; text link; centered; di bawah Submit; kembali ke screen sebelumnya tanpa konfirmasi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Mobile Summary Section (Expandable)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 bawah card §7 (Jadwal); sebelum action bar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 state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Collapsed; header 'Lihat Ringkasan →' 14px/500/#22C55E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Expanded state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Menampilkan semua summary items identik desktop; animasi 200ms ease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Validation, Confirmation &amp; Error States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Field-Level 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Treatment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ARIA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Default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#D1D5DB; bg #FFFFFF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Focus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2px #22C55E; ring rgba(34,197,94,0.15)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</w:t>
            </w:r>
          </w:p>
        </w:tc>
        <w:tc>
          <w:tcPr>
            <w:tcW w:type="dxa" w:w="30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#22C55E; checkmark icon 16px kanan input</w:t>
            </w:r>
          </w:p>
        </w:tc>
        <w:tc>
          <w:tcPr>
            <w:tcW w:type="dxa" w:w="4526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aria-invalid=false</w:t>
            </w:r>
          </w:p>
        </w:tc>
      </w:tr>
      <w:tr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2px #EF4444; bg #FEF2F2; error message 12px/500/#EF4444 di bawah field; icon ✕ kanan</w:t>
            </w:r>
          </w:p>
        </w:tc>
        <w:tc>
          <w:tcPr>
            <w:tcW w:type="dxa" w:w="45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aria-invalid=true; aria-describedby={fieldId-error}</w:t>
            </w:r>
          </w:p>
        </w:tc>
      </w:tr>
      <w:t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Disabled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Border #E5E7EB; bg #F9FAFB; teks #9CA3AF</w:t>
            </w:r>
          </w:p>
        </w:tc>
        <w:tc>
          <w:tcPr>
            <w:tcW w:type="dxa" w:w="4526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aria-disabled=true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Error Messages (Pesan Validasi)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Kondisi Error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Pesan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Jenis Waste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dipilih saat submit</w:t>
            </w:r>
          </w:p>
        </w:tc>
        <w:tc>
          <w:tcPr>
            <w:tcW w:type="dxa" w:w="4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'Pilih jenis waste untuk melanjutkan'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Estimasi Berat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Kosong atau ≤0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'Masukkan estimasi berat waste (minimal 1 kg)'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Estimasi Berat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Melebihi kapasitas tersisa + 20%</w:t>
            </w:r>
          </w:p>
        </w:tc>
        <w:tc>
          <w:tcPr>
            <w:tcW w:type="dxa" w:w="4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'Berat melebihi kapasitas tersisa. Pastikan estimasi akurat.'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Kondisi Waste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dipilih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'Pilih kondisi waste'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dipilih saat submit</w:t>
            </w:r>
          </w:p>
        </w:tc>
        <w:tc>
          <w:tcPr>
            <w:tcW w:type="dxa" w:w="4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'Pilih vendor untuk menangani pickup ini'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dipilih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'Pilih tanggal pickup yang diinginkan'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 di masa lalu</w:t>
            </w:r>
          </w:p>
        </w:tc>
        <w:tc>
          <w:tcPr>
            <w:tcW w:type="dxa" w:w="4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'Tanggal pickup tidak boleh di masa lalu'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Preferensi Waktu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dipilih</w:t>
            </w:r>
          </w:p>
        </w:tc>
        <w:tc>
          <w:tcPr>
            <w:tcW w:type="dxa" w:w="4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'Pilih preferensi waktu pickup'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Form-Level Error Banner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Trigger</w:t>
            </w:r>
          </w:p>
        </w:tc>
        <w:tc>
          <w:tcPr>
            <w:tcW w:type="dxa" w:w="6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Saat Submit diklik dengan field wajib kosong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Posisi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 atas card pertama; scroll ke atas otomatis; bg #FEE2E2; border-left 4px #EF4444; radius 6px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Konten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'Ada X field yang perlu dilengkapi sebelum mengirim request.' — 14px/500/#991B1B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error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Bullet list field yang error + anchor link ke field tersebut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9.4 Success Confirmation State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Setelah submit berhasil, form digantikan oleh confirmation screen (in-page, bukan modal) — tidak berpindah URL.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Spesifikasi</w:t>
            </w:r>
          </w:p>
        </w:tc>
      </w:tr>
      <w:tr>
        <w:tc>
          <w:tcPr>
            <w:tcW w:type="dxa" w:w="25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Icon</w:t>
            </w:r>
          </w:p>
        </w:tc>
        <w:tc>
          <w:tcPr>
            <w:tcW w:type="dxa" w:w="6526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Checkmark circle 64px/#22C55E; centered; animasi scale-in 300ms</w:t>
            </w:r>
          </w:p>
        </w:tc>
      </w:tr>
      <w:tr>
        <w:tc>
          <w:tcPr>
            <w:tcW w:type="dxa" w:w="25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Heading</w:t>
            </w:r>
          </w:p>
        </w:tc>
        <w:tc>
          <w:tcPr>
            <w:tcW w:type="dxa" w:w="6526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'Request Pickup Berhasil Dikirim!' — 24px/700/#111827; centered</w:t>
            </w:r>
          </w:p>
        </w:tc>
      </w:tr>
      <w:tr>
        <w:tc>
          <w:tcPr>
            <w:tcW w:type="dxa" w:w="25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Sub-teks</w:t>
            </w:r>
          </w:p>
        </w:tc>
        <w:tc>
          <w:tcPr>
            <w:tcW w:type="dxa" w:w="6526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'Request #[ID] telah dikirim ke [Nama Vendor]. Anda akan menerima konfirmasi dalam 1×24 jam.' — 14px/400/#6B7280; centered</w:t>
            </w:r>
          </w:p>
        </w:tc>
      </w:tr>
      <w:tr>
        <w:tc>
          <w:tcPr>
            <w:tcW w:type="dxa" w:w="25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Detail summary</w:t>
            </w:r>
          </w:p>
        </w:tc>
        <w:tc>
          <w:tcPr>
            <w:tcW w:type="dxa" w:w="6526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 ringkasan: Jenis Waste · Berat · Vendor · Tanggal · Waktu · Status 'Menunggu Konfirmasi'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CTA Utama</w:t>
            </w:r>
          </w:p>
        </w:tc>
        <w:tc>
          <w:tcPr>
            <w:tcW w:type="dxa" w:w="6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'Kembali ke Monitoring Kapasitas' → SCR-M-02; Primary button #22C55E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CTA Sekunder</w:t>
            </w:r>
          </w:p>
        </w:tc>
        <w:tc>
          <w:tcPr>
            <w:tcW w:type="dxa" w:w="65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'Lihat Riwayat Pickup →' → SCR-M-05; Ghost button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9.5 Loading &amp; Submitting State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Submitting</w:t>
            </w:r>
          </w:p>
        </w:tc>
        <w:tc>
          <w:tcPr>
            <w:tcW w:type="dxa" w:w="6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 button: spinner 16px putih + 'Mengirim...' text; button disabled; form fields disabled; overlay semi-transparan 0.3 opacity</w:t>
            </w:r>
          </w:p>
        </w:tc>
      </w:tr>
      <w:tr>
        <w:tc>
          <w:tcPr>
            <w:tcW w:type="dxa" w:w="2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 gagal (network)</w:t>
            </w:r>
          </w:p>
        </w:tc>
        <w:tc>
          <w:tcPr>
            <w:tcW w:type="dxa" w:w="65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banner: 'Gagal mengirim request. Periksa koneksi dan coba lagi.' + tombol 'Coba Lagi'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Desktop Layout Specification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≥1280px; SideNav 240px expanded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Main content area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calc(100vw - 240px); padding 32px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column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max-width 720px; margin-right 304px (280px sidebar + 24px gap)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Summary sidebar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280px; fixed kanan; top 96px; padding 20px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 banner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width (100vw - 240px); tinggi 40px; di bawah AppHeader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10.1 Desktop Zone Token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100vw × 64px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--color-role-manajer-bg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#FFF2CC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240px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--color-nav-dark-bg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</w:tr>
      <w:tr>
        <w:tc>
          <w:tcPr>
            <w:tcW w:type="dxa" w:w="1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bg</w:t>
            </w:r>
          </w:p>
        </w:tc>
        <w:tc>
          <w:tcPr>
            <w:tcW w:type="dxa" w:w="20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--color-bg-page</w:t>
            </w:r>
          </w:p>
        </w:tc>
        <w:tc>
          <w:tcPr>
            <w:tcW w:type="dxa" w:w="3026"/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#F9FAFB</w:t>
            </w:r>
          </w:p>
        </w:tc>
      </w:tr>
      <w:tr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card</w:t>
            </w:r>
          </w:p>
        </w:tc>
        <w:tc>
          <w:tcPr>
            <w:tcW w:type="dxa" w:w="2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#FFFFFF; border 1px #E5E7EB</w:t>
            </w:r>
          </w:p>
        </w:tc>
      </w:tr>
      <w:tr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Focus ring</w:t>
            </w:r>
          </w:p>
        </w:tc>
        <w:tc>
          <w:tcPr>
            <w:tcW w:type="dxa" w:w="2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--border-focus</w:t>
            </w:r>
          </w:p>
        </w:tc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#22C55E (Daun Segar)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Tablet Layout Specification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768px – 1279px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Collapsed 64px; bg #243F1A; expand on tap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layout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 column; no sidebar; padding 24px; form max-width: 100%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Summary sidebar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ditampilkan sebagai sticky sidebar — diganti summary expandable sebelum action bar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grid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kolom (bukan 2 kolom); full width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Action bar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Sticky bottom; bg #FFFFFF; shadow-up; padding 16px 24px; Submit full-width + Batal link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Mobile Layout Specification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Breakpoint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&lt;768px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Drawer dari kiri; bg #243F1A; trigger hamburger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layout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Single column; padding 16px; card radius 8px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 cards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Stack vertikal; full width; gap 16px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list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kolom; compact card (tinggi dikurangi, info esensial saja)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RadioButton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2-kolom layout dikurangi ke 1-kolom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Sticky action bar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Bottom sticky; tinggi 72px; Submit full-width; Batal teks link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 banner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width; teks singkat: 'Kapasitas X%' — tidak full sentence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Accessibility Considerations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13.1 Color Contrast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FG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BG</w:t>
            </w:r>
          </w:p>
        </w:tc>
        <w:tc>
          <w:tcPr>
            <w:tcW w:type="dxa" w:w="1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Rasio</w:t>
            </w:r>
          </w:p>
        </w:tc>
        <w:tc>
          <w:tcPr>
            <w:tcW w:type="dxa" w:w="1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active text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#E5F3DC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  <w:tc>
          <w:tcPr>
            <w:tcW w:type="dxa" w:w="1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~10.2:1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muted text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#A3C98A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#243F1A</w:t>
            </w:r>
          </w:p>
        </w:tc>
        <w:tc>
          <w:tcPr>
            <w:tcW w:type="dxa" w:w="1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~4.6:1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 ✓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label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#374151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~9.7:1</w:t>
            </w:r>
          </w:p>
        </w:tc>
        <w:tc>
          <w:tcPr>
            <w:tcW w:type="dxa" w:w="1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2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Input text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#111827</w:t>
            </w:r>
          </w:p>
        </w:tc>
        <w:tc>
          <w:tcPr>
            <w:tcW w:type="dxa" w:w="15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&gt;16:1</w:t>
            </w:r>
          </w:p>
        </w:tc>
        <w:tc>
          <w:tcPr>
            <w:tcW w:type="dxa" w:w="15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AAA ✓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#22C55E</w:t>
            </w:r>
          </w:p>
        </w:tc>
        <w:tc>
          <w:tcPr>
            <w:tcW w:type="dxa" w:w="1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~2.5:1</w:t>
            </w:r>
          </w:p>
        </w:tc>
        <w:tc>
          <w:tcPr>
            <w:tcW w:type="dxa" w:w="1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Large text ✓</w:t>
            </w:r>
          </w:p>
        </w:tc>
      </w:tr>
      <w:tr>
        <w:tc>
          <w:tcPr>
            <w:tcW w:type="dxa" w:w="2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message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#EF4444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1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~4.5:1</w:t>
            </w:r>
          </w:p>
        </w:tc>
        <w:tc>
          <w:tcPr>
            <w:tcW w:type="dxa" w:w="15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 ✓</w:t>
            </w:r>
          </w:p>
        </w:tc>
      </w:tr>
      <w:tr>
        <w:tc>
          <w:tcPr>
            <w:tcW w:type="dxa" w:w="2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Error banner text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#991B1B</w:t>
            </w:r>
          </w:p>
        </w:tc>
        <w:tc>
          <w:tcPr>
            <w:tcW w:type="dxa" w:w="15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#FEE2E2</w:t>
            </w:r>
          </w:p>
        </w:tc>
        <w:tc>
          <w:tcPr>
            <w:tcW w:type="dxa" w:w="1000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~5.8:1</w:t>
            </w:r>
          </w:p>
        </w:tc>
        <w:tc>
          <w:tcPr>
            <w:tcW w:type="dxa" w:w="1526"/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 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13.2 Form Accessibility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Setiap input: id unik + htmlFor pada label — tidak menggunakan placeholder sebagai pengganti label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Error messages: id={fieldId}-error; terhubung ke input via aria-describedby; diumumkan aria-live='polite'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 error banner: role='alert'; aria-live='assertive' — dibaca segera saat muncul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Required fields: aria-required=true; asterisk (*) memiliki screen-reader only text 'wajib diisi'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Vendor card selection: role='radio' group atau role='listbox' + aria-selected; keyboard navigasi Arrow keys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button disabled: aria-disabled=true + title='Lengkapi form untuk melanjutkan'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Success state: focus dipindahkan ke heading konfirmasi setelah animasi selesai; aria-live='polite'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13.3 Keyboard Navigation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 order: Context Banner (skip) → Back → Form fields (top-to-bottom) → Submit → Cancel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Vendor cards: Tab masuk ke group; Arrow key navigasi antar vendor; Enter/Space pilih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DatePicker: keyboard navigasi dalam calendar; Enter pilih; Esc tutup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Focus indicator: outline 2px solid #22C55E; offset 2px — visible di semua background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Design Rationale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14.1 Kontinuitas dengan SCR-M-01 dan SCR-M-02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AppHeader #FFF2CC + SideNav #243F1A: identik — pengguna langsung mengenali berada dalam produk yang sama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Bumi Tenang #F9FAFB sebagai form background dan card #FFFFFF: konsisten dengan semua screen sebelumnya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Daun Segar #22C55E pada focus ring dan Submit button: warna brand yang konsisten, sekaligus memberikan arti positif 'aksi utama = menghijaukan proses pickup'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14.2 Form Layout — Single Column dengan Sticky Summary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 column form (max-width 720px) mengikuti best practice form UX — pengguna tidak perlu scan horizontal untuk mengisi field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Sticky summary sidebar memungkinkan manajer melihat kelengkapan form tanpa harus scroll ke bawah — mengurangi error sebelum submit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3-section form dengan nomor '1 dari 3' memberikan progress context tanpa memerlukan step-wizard — cocok untuk form yang tidak terlalu panjang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14.3 Focus Ring Daun Segar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Focus ring #22C55E (bukan biru default browser) menguatkan brand identity saat interaksi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Kontras cukup di semua background form (putih, abu muda) — tidak menukar aksesibilitas demi brand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Ring shadow rgba(34,197,94,0.15) memberikan kedalaman visual tanpa over-styling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14.4 Vendor Card Selection — Card Pattern vs Dropdown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 pattern (bukan dropdown) dipilih karena vendor adalah keputusan penting — manajer perlu melihat nama, tipe, rating, dan status vendor secara bersamaan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Dropdown menyembunyikan informasi — kurang sesuai untuk keputusan dengan konsekuensi operasional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Card styling menggunakan border + bg change (bukan hanya highlight) — lebih accessible dan mudah terlihat di semua kondisi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14.5 Context Banner — Preserving Decision Context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Context banner muncul hanya saat datang dari alert kapasitas — bukan saat dibuka manual dari SideNav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 mempertahankan konteks 'kenapa saya di sini' — mengurangi cognitive load pada saat operasional mendesak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Warna threshold (amber/merah) pada banner mengkomunikasikan urgensi tanpa perlu teks berlebihan</w:t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Verification Report</w:t>
      </w:r>
    </w:p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15.1 Visual Language Alignment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Elemen Visual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Referensi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 #FFF2CC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§3.1; SCR-M-02 §3.1; Phase 3C v1.1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SideNav #243F1A dark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§3.2; SCR-M-02 §3.2; Phase 3C v1.1 §6.6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 item aktif (Request Pickup)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§3.2 — nav ordering identik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Tipografi Inter / scale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3B §4; Phase 3C v1.1 §5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Daun Segar #22C55E (focus, submit, border aktif)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3C v1.1 §4.3; SCR-M-01 §5; SCR-M-02 §5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Bumi Tenang #F9FAFB (page bg)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3C v1.1 §4.1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Card #FFFFFF; border #E5E7EB; radius 8px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3C v1.1 §7.1; SCR-M-01/02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Spacing 8px base; padding 24px card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3B §3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Threshold colors (Aman/Perlu Perhatian/Kritis)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3B §2; Phase 3C v1.1 §4.4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 styling (border, focus, error, disabled)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3B component specs COMP-01–09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card selection pattern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 3B §5 (card component COMP-10)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Brand illustration (digunakan di empty state)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KONSISTEN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SCR-M-01 §8.3 Brand Illustration Rules — aria-hidden, max 15%, decorative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15.2 Functional Requirements Coverage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Dicakup di</w:t>
            </w:r>
          </w:p>
        </w:tc>
        <w:tc>
          <w:tcPr>
            <w:tcW w:type="dxa" w:w="3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FR-M-05: Form Request Pickup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 (form fields), §9 (validasi + submit)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FR-M-06: Vendor Assignment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 (vendor selection)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FR-M-04: Threshold trigger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§1.1 (entry points), §3.3 (context banner)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US-M-03: Buat pickup request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§5–§9 (seluruh form flow)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LT-04: Form Layout type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§2 (layout structure)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  <w:tr>
        <w:tc>
          <w:tcPr>
            <w:tcW w:type="dxa" w:w="2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Navigation context (SideNav item 4)</w:t>
            </w:r>
          </w:p>
        </w:tc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§1.2, §3.2</w:t>
            </w:r>
          </w:p>
        </w:tc>
        <w:tc>
          <w:tcPr>
            <w:tcW w:type="dxa" w:w="3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✓ Covered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15.3 Scope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Bukti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visual language baru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Semua warna dari Phase 3C v1.1; tidak ada hex baru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redesign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AppHeader, SideNav, card system identik SCR-M-01/02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komponen baru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COMP-01–09 (form), COMP-14, COMP-19, COMP-21 semua dari Phase 3B library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tipografi baru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Inter; size scale identik Phase 3B/3C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Tidak ada filososi layout baru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LT-04 adalah varian LT-03 — AppHeader + SideNav identik; form column adalah standard form pattern</w:t>
            </w:r>
          </w:p>
        </w:tc>
      </w:tr>
      <w:tr>
        <w:tc>
          <w:tcPr>
            <w:tcW w:type="dxa" w:w="3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Continuity visual dengan SCR-M-01/02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✓</w:t>
            </w:r>
          </w:p>
        </w:tc>
        <w:tc>
          <w:tcPr>
            <w:tcW w:type="dxa" w:w="45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journey SCR-M-01 → SCR-M-02 → SCR-M-04 memiliki AppHeader, SideNav, dan brand language yang identik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15.4 Approval Recommendation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18"/>
                <w:szCs w:val="18"/>
              </w:rPr>
              <w:t xml:space="preserve">SCR-M-04_VisualSpec_MottaGo_v1.0 merupakan spesifikasi implementasi-ready yang konsisten penuh dengan Phase 3C v1.1, SCR-M-01 v1.1, dan SCR-M-02 v1.1. Semua elemen visual, komponen, tipografi, spacing, dan warna bersumber dari approved design system. Dokumen direkomendasikan untuk APPROVED tanpa revisi.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26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Properti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SCR-M-04_VisualSpec_MottaGo_v1.0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Sumber visual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Phase3C_VisualDesign_MottaGo_v1.1 + SCR-M-01 v1.1 + SCR-M-02 v1.1 + approved-dashboard-reference.jpeg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Sections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sections lengkap</w:t>
            </w:r>
          </w:p>
        </w:tc>
      </w:tr>
      <w:tr>
        <w:tc>
          <w:tcPr>
            <w:tcW w:type="dxa" w:w="3026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Generated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2026-06-18</w:t>
            </w:r>
          </w:p>
        </w:tc>
      </w:tr>
      <w:tr>
        <w:tc>
          <w:tcPr>
            <w:tcW w:type="dxa" w:w="3026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6000"/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— 12 visual elements ✓; 6 requirements ✓; 6 constraints PASS</w:t>
            </w:r>
          </w:p>
        </w:tc>
      </w:tr>
      <w:tr>
        <w:tc>
          <w:tcPr>
            <w:tcW w:type="dxa" w:w="3026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000"/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AWAITING APPROVAL</w:t>
            </w:r>
          </w:p>
        </w:tc>
      </w:tr>
      <w:tr>
        <w:tc>
          <w:tcPr>
            <w:tcW w:type="dxa" w:w="3026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Rekomendasi</w:t>
            </w:r>
          </w:p>
        </w:tc>
        <w:tc>
          <w:tcPr>
            <w:tcW w:type="dxa" w:w="6000"/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APPROVED — Tidak ada temuan. Lanjut ke screen visual spec berikutnya atau ke Phase 4.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color w:val="374151"/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2C55E" w:sz="4"/>
      </w:pBdr>
      <w:spacing w:after="160" w:before="240"/>
    </w:pPr>
    <w:rPr>
      <w:b/>
      <w:bCs/>
      <w:color w:val="243F1A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2026-06-18T15:12:42.620Z</dcterms:created>
  <dcterms:modified xsi:type="dcterms:W3CDTF">2026-06-18T15:12:42.620Z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