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MottaGo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Waste Food Reduction Management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5623"/>
          <w:sz w:val="36"/>
          <w:szCs w:val="36"/>
        </w:rPr>
        <w:t xml:space="preserve">PHASE 0 — UNDERSTAND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Project Understanding Report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0 Deliverable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MottaGo v1.0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PRD Version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Draft Awal — 12 Mei 2026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0 — Understand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Awaiting Stakeholder Review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Prepared by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Project Analyst (Claude)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 June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Project Overview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MottaGo is a web-based Waste Food Reduction Management System designed for the F&amp;B / restaurant industry in Indonesia. The platform digitalizes and standardizes the entire waste management lifecycle — from table clearance through waste station recording, vendor pickup coordination, and management reporting — replacing informal, manual processes that currently generate uncontrolled waste accumulation and poor data visibility.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system is being developed as an academic project (Pengembangan Sistem Informasi) by a three-person team under course requirements, targeting a production-ready v1.0 MVP within 13 weeks.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Business Problem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PRD identifies five interconnected operational failures in restaurant waste management: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real-time, standardized waste recording — waste in / waste out data is undocumented.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Manual, error-prone waste classification by utility staff with no digital guidance.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Reactive capacity monitoring — overflows are discovered after the fact, not prevented.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Informal vendor coordination via phone/SMS — no audit trail, frequent miscommunication.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unified management dashboard — decisions made without data.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Proposed Solution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MottaGo addresses all five failures through a role-gated web application with four user portals: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Pelayan (Waiter): Confirms waste hand-off to Utility via a 2-tap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Pegawai Utility: Classifies waste type; system auto-creates waste_in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Manajer Restoran: Real-time dashboard of waste volumes, pickup status, and station capacity.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 Pengelola Sampah: Receives structured pickup requests; submits processed results.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 Business Objectives &amp; Success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200"/>
        <w:gridCol w:w="2226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Objective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BO-01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Eliminate unclassified waste disposal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95% waste_in records with valid waste_type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months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BO-02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Optimize vendor pickup scheduling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Avg. pickup response time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4 hours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BO-03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waste visibility for management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 days with complete dashboard data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Ongoing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BO-04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Prevent waste station overflow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 overflow incidents per month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Monthly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1.5 MVP Timeline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Development follows a 13-week schedule: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526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PRD Final &amp; Approved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Wk 2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Signed PRD v1.0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 Handoff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Wk 4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wireframes annotated with FR IDs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&amp; Backend API Complete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Wk 8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Must-Have endpoints passing unit tests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UAT Begins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Wk 10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real users testing core scenarios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Staging Sign-Off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Wk 12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Critical/High bugs; NFRs verified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Go-Live v1.0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Wk 13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deployment complete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1.6 Version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MVP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 1–3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Auth, waste_in recording, classification, capacity monitoring, pickup, waste_out, Manager dashboard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v1.5 Enhancement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 4–6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Email/push notifications, advanced filters, vendor management, trend charts, CSV export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v2.0 Scale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 7–12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Native Android app, multi-store/multi-branch, government reporting, predictive analytics, POS 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Stakeholder Analysis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Four primary user roles plus the system itself are identified in the PRD. Each role has a distinct portal, specific functional requirements, and defined data access permissions.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Role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500"/>
        <w:gridCol w:w="23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Label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Responsibility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 Device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Pelayan (Waiter)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pelayan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Collect waste from tables; confirm hand-off to Utility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(Android), mid-operation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Pegawai Utility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utility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Receive, classify, and record waste into the system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Tablet at waste station or personal phone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Manajer Restoran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manajer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 waste KPIs, manage vendors, oversee pickup lifecycle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Desktop/laptop (primary), mobile (occasional)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Vendor Pengelola Sampah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vendor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Receive pickup requests, collect waste, submit processed results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/ web browser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Pelayan (Waiter)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Persona: Rina, 24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High school graduate, full-time waiter. Android user for social media; minimal business app experience. Accesses system mid-service, often with busy or dirty hands.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ID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FR-P-01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with username/password using role: pelayan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FR-P-02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step-by-step waste collection guide after customer finishes dining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FR-P-03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 waste hand-off to Utility (triggers waste_in recording workflow)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UX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Core action (hand-off confirmation) completable in max 2 screen taps.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Confirmation button must be large and clearly distinguishable to prevent accidental taps.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visual success feedback after confirmation.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Pain Points Addressed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Previously: no digital recording — waste movement was invisible to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MottaGo: every hand-off triggers a traceable workflow event.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Pegawai Utility (Utility Staff)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Persona: Budi, 35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Works full shift at kitchen and waste station areas. Limited digital technology experience. Uses a mounted tablet or personal phone. Often works with dirty/wet hands.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ID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FR-U-01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with role: utility; access waste_in recording form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FR-U-02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 waste type classification interface to select category before auto-recording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FR-U-03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 that waste_type is selected before system creates waste_in record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FR-U-04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Auto-update waste station capacity indicator on each new waste_in record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FR-U-05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 three classification options: (1) Organik Padat, (2) Non-Organik, (3) Cairan Grease Trap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UX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Waste type options must use visual icons/colors — not just text labels.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44×44px tap targets throughout the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Inline validation errors (not blocking popups).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Single-hand operation on minimum screen.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Manajer Restoran (Restaurant Manager)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Persona: Pak Hendra, 45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15+ years in F&amp;B operations management. Primary access via laptop/desktop. Prefers data-dense, low-decoration UIs. Decision-making is entirely data-driven.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ID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FR-M-01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Access operational dashboard: total waste_in by type, pickup status, remaining station capacity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FR-M-02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waste_in / waste_out history with filters: date, waste_type, vendor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FR-M-03 (Should)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Add, edit, deactivate vendors in the vendor table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FR-M-04 (Won't v1.0)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weekly/monthly trend charts of waste production by type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FR-S-04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manual pickup request to selected vendor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FR-S-10 (Won't v1.0)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 waste_in / waste_out reports as CSV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UX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KPIs visible on desktop in one screen without scrolling.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Trend chart filterable by waste_type without page navigation.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refreshes within &lt; 5 seconds of any new waste_in / waste_out record.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 Vendor Pengelola Sampah (Waste Management Vendor)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ID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FR-V-01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with role: vendor; view pickup requests assigned to their vendor_id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FR-V-02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pickup status to in_progress upon arrival at restaurant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FR-V-03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processed waste report (qty, waste_type_id, processed_result) stored to waste_out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Key Constraints on 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 can only see pickups assigned to their own vendor_id (FK-scoped access).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 can write to waste_out; cannot read other vendors' waste_out or access USERS/VENDOR master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processed_result is required — incomplete reports block waste_out creation.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2.6 Stakeholder Data Access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56"/>
        <w:gridCol w:w="1557"/>
        <w:gridCol w:w="1557"/>
        <w:gridCol w:w="255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15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Pelayan</w:t>
            </w:r>
          </w:p>
        </w:tc>
        <w:tc>
          <w:tcPr>
            <w:tcW w:type="dxa" w:w="1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Utility</w:t>
            </w:r>
          </w:p>
        </w:tc>
        <w:tc>
          <w:tcPr>
            <w:tcW w:type="dxa" w:w="1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Manajer</w:t>
            </w:r>
          </w:p>
        </w:tc>
        <w:tc>
          <w:tcPr>
            <w:tcW w:type="dxa" w:w="25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Vendor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WASTE_IN</w:t>
            </w:r>
          </w:p>
        </w:tc>
        <w:tc>
          <w:tcPr>
            <w:tcW w:type="dxa" w:w="15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(own)</w:t>
            </w:r>
          </w:p>
        </w:tc>
        <w:tc>
          <w:tcPr>
            <w:tcW w:type="dxa" w:w="1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+ Write</w:t>
            </w:r>
          </w:p>
        </w:tc>
        <w:tc>
          <w:tcPr>
            <w:tcW w:type="dxa" w:w="1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All</w:t>
            </w:r>
          </w:p>
        </w:tc>
        <w:tc>
          <w:tcPr>
            <w:tcW w:type="dxa" w:w="25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Access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WASTE_OUT</w:t>
            </w:r>
          </w:p>
        </w:tc>
        <w:tc>
          <w:tcPr>
            <w:tcW w:type="dxa" w:w="15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Access</w:t>
            </w:r>
          </w:p>
        </w:tc>
        <w:tc>
          <w:tcPr>
            <w:tcW w:type="dxa" w:w="1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</w:t>
            </w:r>
          </w:p>
        </w:tc>
        <w:tc>
          <w:tcPr>
            <w:tcW w:type="dxa" w:w="1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All</w:t>
            </w:r>
          </w:p>
        </w:tc>
        <w:tc>
          <w:tcPr>
            <w:tcW w:type="dxa" w:w="25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+ Write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PICKUP</w:t>
            </w:r>
          </w:p>
        </w:tc>
        <w:tc>
          <w:tcPr>
            <w:tcW w:type="dxa" w:w="15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Access</w:t>
            </w:r>
          </w:p>
        </w:tc>
        <w:tc>
          <w:tcPr>
            <w:tcW w:type="dxa" w:w="1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</w:t>
            </w:r>
          </w:p>
        </w:tc>
        <w:tc>
          <w:tcPr>
            <w:tcW w:type="dxa" w:w="1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+ Write</w:t>
            </w:r>
          </w:p>
        </w:tc>
        <w:tc>
          <w:tcPr>
            <w:tcW w:type="dxa" w:w="25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+ Update Status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USERS</w:t>
            </w:r>
          </w:p>
        </w:tc>
        <w:tc>
          <w:tcPr>
            <w:tcW w:type="dxa" w:w="15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(self)</w:t>
            </w:r>
          </w:p>
        </w:tc>
        <w:tc>
          <w:tcPr>
            <w:tcW w:type="dxa" w:w="1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(self)</w:t>
            </w:r>
          </w:p>
        </w:tc>
        <w:tc>
          <w:tcPr>
            <w:tcW w:type="dxa" w:w="1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+ Write (all)</w:t>
            </w:r>
          </w:p>
        </w:tc>
        <w:tc>
          <w:tcPr>
            <w:tcW w:type="dxa" w:w="25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(self)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VENDOR</w:t>
            </w:r>
          </w:p>
        </w:tc>
        <w:tc>
          <w:tcPr>
            <w:tcW w:type="dxa" w:w="15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Access</w:t>
            </w:r>
          </w:p>
        </w:tc>
        <w:tc>
          <w:tcPr>
            <w:tcW w:type="dxa" w:w="1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Access</w:t>
            </w:r>
          </w:p>
        </w:tc>
        <w:tc>
          <w:tcPr>
            <w:tcW w:type="dxa" w:w="1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+ Write</w:t>
            </w:r>
          </w:p>
        </w:tc>
        <w:tc>
          <w:tcPr>
            <w:tcW w:type="dxa" w:w="25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(self)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WASTE_TYPE</w:t>
            </w:r>
          </w:p>
        </w:tc>
        <w:tc>
          <w:tcPr>
            <w:tcW w:type="dxa" w:w="15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Access</w:t>
            </w:r>
          </w:p>
        </w:tc>
        <w:tc>
          <w:tcPr>
            <w:tcW w:type="dxa" w:w="1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</w:t>
            </w:r>
          </w:p>
        </w:tc>
        <w:tc>
          <w:tcPr>
            <w:tcW w:type="dxa" w:w="1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</w:t>
            </w:r>
          </w:p>
        </w:tc>
        <w:tc>
          <w:tcPr>
            <w:tcW w:type="dxa" w:w="25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</w:t>
            </w:r>
          </w:p>
        </w:tc>
        <w:tc>
          <w:tcPr>
            <w:tcW w:type="dxa" w:w="15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Access</w:t>
            </w:r>
          </w:p>
        </w:tc>
        <w:tc>
          <w:tcPr>
            <w:tcW w:type="dxa" w:w="1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</w:t>
            </w:r>
          </w:p>
        </w:tc>
        <w:tc>
          <w:tcPr>
            <w:tcW w:type="dxa" w:w="1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+ Write</w:t>
            </w:r>
          </w:p>
        </w:tc>
        <w:tc>
          <w:tcPr>
            <w:tcW w:type="dxa" w:w="25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Scope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In Scope — v1.0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Area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Role-based login for all 4 user roles (pelayan, utility, manajer, vendor)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Waste Recording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Utility-driven waste_in creation with waste_type selection; system auto-records with timestamp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Waste Classification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waste types: Organik Padat, Non-Organik, Cairan Grease Trap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Capacity Monitoring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waste station capacity tracking; auto-alert at &gt;= 90%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Pickup Management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 and manual pickup request creation; status lifecycle: requested → in_progress → completed/cancelled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In-App Notifications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Notify Manager and Vendor when pickup is auto-requested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Waste Out Recording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Vendor uploads processed waste report; system creates waste_out record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Manager Dashboard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Real-time: total waste_in by type, waste_out totals, active pickup status, station capacity %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History &amp; Filters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Manager views waste_in/out history with date, type, and vendor filters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Entities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CRUD support for: store, users, waste_type, waste_in, vendor, pickup, waste_out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Out of Scope —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Excluded Feature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Version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Native mobile app (iOS/Android)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v2.0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 or accounting system integration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v2.0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Raw material inventory management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planned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 vendor invoice / payment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planned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 government/environmental agency reporting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v2.0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Multi-store / multi-branch support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v2.0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Predictive waste analytics / ML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v2.0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Advanced trend charts (weekly/monthly)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v1.5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 export of reports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v1.5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Email/push notifications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Assumptions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following conditions are assumed true for v1.0 to function as designed: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restaurant has at least one identified waste station with a configured maximum capacity.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Utility staff perform classification and confirmation after receiving waste from Pelayan — Pelayan does not enter data directly into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vendors registered in the system have an active cooperation agreement with the restaurant.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Internet connectivity is available at the waste station area at all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user accounts (all roles) are created and configured by the Manager before operational use begins.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Waste type master data is configured once by an administrator and remains stable during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Station capacity configuration is completed by the Manager before operations begin.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Technical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Database: MySQL (InnoDB, utf8mb4_general_ci) — schema db_mottago_psi is already defined and cannot be changed without a documented migration.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Platform: Web-responsive only for v1.0; minimum viewport width 360px.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Budget: 3-person academic team; no scope additions without compensating removals.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Timeline: 13 weeks to Go-Live; all Must Have FRs must be 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Security: bcrypt password hashing, HTTPS/TLS 1.2+, role-based API authorization (403 on unauthorized access).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External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Dependency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Level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 / XAMPP (phpMyAdmin)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backend database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— local server dependency; needs cloud migration for production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Email/In-app Notification Service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Pickup request alerts to Vendor and Manager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— no specific provider named; fallback to in-app only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Server (Apache/Nginx)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Hosting MottaGo web application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— must be provisioned before UAT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Modern Browser (Chrome/Firefox/Safari)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 access for all roles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— standard requirement; cross-browser testing needed pre-launch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Risk Summary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Risks are rated on a 1–3 scale for Likelihood (L) and Impact (I). Risk Score = L × I. Scores ≥ 4 require mitigation.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Technical Risks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00"/>
        <w:gridCol w:w="500"/>
        <w:gridCol w:w="700"/>
        <w:gridCol w:w="3926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TR-01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MySQL/XAMPP used for production — single point of failure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Migrate to cloud DB (e.g., Railway, PlanetScale) before UAT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TR-02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dashboard update within 5 seconds (NFR-01) may fail under concurrent load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 polling or WebSocket; load test with k6 at 50 concurrent users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TR-03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notification provider specified — vendor may miss pickup alerts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 in-app fallback as primary; define email/SMS provider in Phase 2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TR-04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Cross-browser inconsistency for minimum 360px layout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Lighthouse audits; test on Chrome, Firefox, Safari before go-live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TR-05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 migration required if any design change invalidates db_mottago_psi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Freeze schema post-approval; document all changes in a migration log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TR-06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 lockout (5 failed logins, 15-min lockout — NFR-06) may impact legitimate users in field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 Manager-accessible unlock function; document recovery SOP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Operational Risks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00"/>
        <w:gridCol w:w="500"/>
        <w:gridCol w:w="700"/>
        <w:gridCol w:w="3926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OR-01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Pegawai Utility has limited digital literacy — may abandon the app under pressure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Enforce max-4-step flow (UX constraint); conduct unmoderated usability test before launch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OR-02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Internet connectivity drops at waste station — waste_in record lost, not queued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PRD does not specify offline mode — flag as gap; recommend offline queue in v1.5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OR-03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Vendor does not submit waste_out report — pickup stays 'in_progress' indefinitely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1-hour reminder system (edge case defined in PRD); Manager can force-close if needed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OR-04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Vendor does not respond to pickup request within 2 hours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Manager alert defined in PRD edge case; Manager can cancel and re-assign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OR-05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Multiple waste_in entries by concurrent Utility staff create duplicate records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PRD explicitly handles this — auto-increment ID avoids conflicts; no action required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Project Risks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00"/>
        <w:gridCol w:w="500"/>
        <w:gridCol w:w="700"/>
        <w:gridCol w:w="3926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PR-01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3-person team with 13-week deadline — any member absence cascades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 clear module ownership; design for parallel independent development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PR-02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MoSCoW 'Won't Have' features misclassified — creep into v1.0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Lock PRD scope; enforce change control process (Section 13 of PRD)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PR-03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Sponsor/dosen review delays push milestone schedule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1-week buffer before each milestone sign-off in schedule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PR-04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FR-M-03 (Vendor Management) and FR-M-04 (Trend Charts) are Should/Won't — team may skip UAT coverage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Explicitly mark in test plan which FRs are excluded from v1.0 UAT scope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Gap Analysis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This section identifies information, specification, and design gaps discovered during Phase 0 PRD review. All items below must be clarified or resolved before Phase 2 (Specify) begins. Items marked BLOCKING must be resolved before Phase 1 completes.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Critical / Blocking Gaps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500"/>
        <w:gridCol w:w="2000"/>
        <w:gridCol w:w="2626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ID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Description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 Service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specific notification provider named (email, SMS, push). FR-S-03 requires in-app notification; PRD does not specify the technology stack for delivery.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BLOCKING — Cannot implement FR-S-03 without provider decision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 in Phase 2: choose in-app polling vs. WebSocket vs. third-party (e.g., Firebase, OneSignal)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GAP-02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Capacity Config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PRD assumes waste station capacity is configured by Manager but provides no FR or UI spec for how capacity is set. seat_capacity is noted as a proxy but no mapping formula is defined.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BLOCKING — FR-S-01, FR-S-02 cannot function without capacity value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 a FR for Manager to configure max capacity per store; specify mapping from seat_capacity or a dedicated field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GAP-03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Offline Support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PRD edge case states: 'connection drops → data not saved; user must retry.' No offline queue or local storage is specified for Utility staff at the waste station.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— Operational risk OR-02; data loss possible in low-connectivity environments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Explicitly mark as out-of-scope in v1.0 or add minimal offline queue spec; document the trade-off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GAP-04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Waiter-Utility Handoff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FR-P-03 says Pelayan confirms 'Sampah Sudah Dibawa' but it's unclear whether this creates a notification for Utility or just a log entry. The trigger mechanism between roles is unspecified.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— Workflow 1 cannot be fully designed without this link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Clarify: does FR-P-03 create a pending notification in Utility's queue, or is it purely a log? Define the handoff state machine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Design &amp; UX Gaps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500"/>
        <w:gridCol w:w="3326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Description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GAP-05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Branding / Design System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PRD references 'panduan visual tim' (team visual guide) for color palette, logo, and brand identity but this document is not included in the PRD or uploaded materials.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 and attach the visual guidelines before Phase 3 (Design) begins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GAP-06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 State UX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 and UX constraints define success/loading states but do not specify error messaging vocabulary or recovery flows (e.g., what message appears for a 403, network timeout, or form validation failure).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 error message taxonomy and recovery actions in the UX specification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GAP-07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Vendor Portal Nav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Vendor persona has no dedicated persona card in Section 7 (User Personas). Only Rina (Pelayan), Budi (Utility), and Pak Hendra (Manager) are documented.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Vendor persona with device, tech-literacy, and UX constraints before wireframing the Vendor portal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GAP-08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Manager Vendor Mgmt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FR-M-03 (Should Have) allows Manager to add/edit/deactivate vendors, but no spec exists for what 'deactivate' means — does it hide them from pickup assignment, block login, or both?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 the deactivation behavior and its effect on pending pickups and existing records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Data &amp; Backend Gaps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500"/>
        <w:gridCol w:w="3326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Description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GAP-09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 Field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waste_in.unit field accepts values: kg, liter, kantong — but no FR specifies who sets the unit or if it is fixed per waste_type. A grease trap entry should logically use liters, not kantong.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 a mapping: waste_type → allowed unit values; consider making unit auto-populated based on selected waste_type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GAP-10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Pickup Vendor Assignment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FR-S-02 auto-creates a pickup record with vendor_id from 'konfigurasi' (configuration) but it's unclear how this default vendor is configured, where it is stored, or if one store can have multiple vendor relationships.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Specify: is there a store-vendor mapping table? Who configures the default vendor? Can a store have multiple vendors for different waste types?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GAP-11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waste_out qty &gt;= 0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waste_out.qty constraint allows qty = 0. The edge case for an empty pickup (vendor arrives but waste already removed) supports this but there is no FR enforcing a note/reason when qty = 0.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 required processed_result note when qty = 0 to prevent ambiguous empty records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GAP-12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Pickup Cancellation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FR-S-04 allows Manager to create a manual pickup. Edge case states Manager can 'cancel pickup' and assign to another vendor. No FR covers the cancellation action or how cancelled records are displayed in reporting.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 FR or business rule for pickup cancellation: who can cancel, what status it takes, and whether cancelled pickups appear in Manager reporting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Non-Functional &amp; Compliance Gaps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500"/>
        <w:gridCol w:w="3326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Description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GAP-13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WCAG Testing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 requires WCAG 2.1 AA compliance verified via accessibility audit before go-live, but no tooling or responsible party is assigned in the milestone schedule.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Assign QA Lead to WCAG audit in Week 12; specify tooling (e.g., axe DevTools, Lighthouse accessibility score &gt;= 90)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GAP-14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Retention Enforcement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PRD specifies 3-year retention for waste_in/out and 1-year for pickup but provides no mechanism (automated archiving, soft delete, or admin tool) to enforce this policy.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 archiving mechanism in Phase 4; consider a scheduled job or admin data management panel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GAP-15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Rollback Plan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Go-Live checklist requires a documented and tested rollback plan but no specification exists for what constitutes a rollback trigger or acceptable rollback time window.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 rollback criteria (e.g., Critical bug in first 2 hours), rollback SLA, and responsible person before Staging Sign-Off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5.5 Gap Summary by Priority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IDs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BLOCKING — Must resolve before Phase 2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GAP-01, GAP-02, GAP-03, GAP-04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— Must resolve before Phase 3 (Design)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GAP-05, GAP-06, GAP-07, GAP-08, GAP-10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— Must resolve before Phase 4 (Build)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GAP-09, GAP-11, GAP-12, GAP-13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— Must resolve before Phase 6 (Release)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GAP-14, GAP-15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gaps identified: 15. Of these, 4 are BLOCKING and must be resolved before Phase 1 (Discover) can be completed.</w:t>
      </w:r>
    </w:p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A: PRD Coverage Map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following PRD sections were reviewed and are fully reflected in this Phase 0 report: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PRD Section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Problem Statement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5 problems documented; stakeholder impact table captured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Objectives (Business + User + KPIs)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BO, UO, and KPI IDs captured in Executive Summary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Scope (In/Out/Assumptions/Constraints)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items reflected in Scope Summary section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Functional Requirements (all roles)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FR IDs catalogued; MoSCoW priorities noted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User Workflows (Workflow 1 &amp; 2)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Happy paths, decision points, and edge cases reviewed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Design Considerations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UX and accessibility constraints documented; brand gap flagged (GAP-05)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User Personas &amp; UX Requirements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Partial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Vendor persona missing (GAP-07)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Data Requirements (Entity Map + Relationships)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7 entities, relationships, retention, and access matrix captured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Non-Functional Requirements (NFR-01 to NFR-09)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9 NFRs reviewed; gaps in WCAG enforcement and rollback flagged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Assumptions, Constraints &amp; Dependencies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items reflected across Scope and Risk sections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Release &amp; Roadmap Planning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Milestone schedule and Go-Live checklist reviewed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12. PRD Review &amp; Sign-Off Process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4-stage review process acknowledged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Change Control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4-step CR process documented; referenced in project governance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For Review Only    |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MottaGo — Waste Food Reduction Management System</w:t>
    </w:r>
    <w:r>
      <w:rPr>
        <w:rFonts w:ascii="Arial" w:cs="Arial" w:eastAsia="Arial" w:hAnsi="Arial"/>
        <w:color w:val="666666"/>
        <w:sz w:val="18"/>
        <w:szCs w:val="18"/>
      </w:rPr>
      <w:t xml:space="preserve">   |   Phase 0: Understand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2026-06-17T04:17:54.075Z</dcterms:created>
  <dcterms:modified xsi:type="dcterms:W3CDTF">2026-06-17T04:17:54.075Z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