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E6" w:rsidRPr="001A2FE6" w:rsidRDefault="001A2FE6" w:rsidP="00D53BB3">
      <w:pPr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            </w:t>
      </w:r>
      <w:r w:rsidRPr="001A2FE6">
        <w:rPr>
          <w:rFonts w:hint="eastAsia"/>
          <w:sz w:val="44"/>
          <w:szCs w:val="44"/>
        </w:rPr>
        <w:t xml:space="preserve"> </w:t>
      </w:r>
      <w:r w:rsidRPr="001A2FE6">
        <w:rPr>
          <w:rFonts w:hint="eastAsia"/>
          <w:sz w:val="44"/>
          <w:szCs w:val="44"/>
        </w:rPr>
        <w:t>三科信息化系统整改问题汇总表</w:t>
      </w:r>
    </w:p>
    <w:p w:rsidR="00D53BB3" w:rsidRPr="00652F7D" w:rsidRDefault="00D53BB3" w:rsidP="00D53BB3">
      <w:pPr>
        <w:rPr>
          <w:sz w:val="32"/>
          <w:szCs w:val="32"/>
        </w:rPr>
      </w:pPr>
      <w:r w:rsidRPr="00652F7D">
        <w:rPr>
          <w:rFonts w:hint="eastAsia"/>
          <w:sz w:val="32"/>
          <w:szCs w:val="32"/>
        </w:rPr>
        <w:t>一、市场部：</w:t>
      </w:r>
    </w:p>
    <w:p w:rsidR="00D53BB3" w:rsidRPr="00652F7D" w:rsidRDefault="00D53BB3" w:rsidP="00D53BB3">
      <w:pPr>
        <w:rPr>
          <w:rFonts w:hint="eastAsia"/>
        </w:rPr>
      </w:pPr>
      <w:r w:rsidRPr="00652F7D">
        <w:rPr>
          <w:rFonts w:hint="eastAsia"/>
        </w:rPr>
        <w:t>1</w:t>
      </w:r>
      <w:r w:rsidRPr="00652F7D">
        <w:rPr>
          <w:rFonts w:hint="eastAsia"/>
        </w:rPr>
        <w:t>、手机处理待处理问题后不能及时更改待处理数量</w:t>
      </w:r>
      <w:r w:rsidR="00B70E19">
        <w:rPr>
          <w:rFonts w:hint="eastAsia"/>
        </w:rPr>
        <w:t xml:space="preserve"> </w:t>
      </w:r>
      <w:r w:rsidR="00B70E19">
        <w:rPr>
          <w:rFonts w:hint="eastAsia"/>
        </w:rPr>
        <w:t>（五一后</w:t>
      </w:r>
      <w:r w:rsidR="00F46878">
        <w:rPr>
          <w:rFonts w:hint="eastAsia"/>
        </w:rPr>
        <w:t>最新的</w:t>
      </w:r>
      <w:r w:rsidR="00F46878">
        <w:t>APP</w:t>
      </w:r>
      <w:r w:rsidR="00F46878">
        <w:rPr>
          <w:rFonts w:hint="eastAsia"/>
        </w:rPr>
        <w:t>将出炉</w:t>
      </w:r>
      <w:r w:rsidR="00B70E19">
        <w:rPr>
          <w:rFonts w:hint="eastAsia"/>
        </w:rPr>
        <w:t>）</w:t>
      </w:r>
    </w:p>
    <w:p w:rsidR="006034D0" w:rsidRPr="00652F7D" w:rsidRDefault="00D53BB3" w:rsidP="00D53BB3">
      <w:pPr>
        <w:rPr>
          <w:sz w:val="32"/>
          <w:szCs w:val="32"/>
        </w:rPr>
      </w:pPr>
      <w:r w:rsidRPr="00652F7D">
        <w:rPr>
          <w:rFonts w:hint="eastAsia"/>
          <w:sz w:val="32"/>
          <w:szCs w:val="32"/>
        </w:rPr>
        <w:t>二、</w:t>
      </w:r>
      <w:r w:rsidR="006034D0" w:rsidRPr="00652F7D">
        <w:rPr>
          <w:rFonts w:hint="eastAsia"/>
          <w:sz w:val="32"/>
          <w:szCs w:val="32"/>
        </w:rPr>
        <w:t>采购部：</w:t>
      </w:r>
    </w:p>
    <w:p w:rsidR="006034D0" w:rsidRPr="00652F7D" w:rsidRDefault="006034D0" w:rsidP="006034D0">
      <w:pPr>
        <w:pStyle w:val="a7"/>
        <w:numPr>
          <w:ilvl w:val="0"/>
          <w:numId w:val="2"/>
        </w:numPr>
        <w:ind w:firstLineChars="0"/>
      </w:pPr>
      <w:r w:rsidRPr="00652F7D">
        <w:t>系统必须要有生成</w:t>
      </w:r>
      <w:proofErr w:type="gramStart"/>
      <w:r w:rsidRPr="00652F7D">
        <w:t>采购台</w:t>
      </w:r>
      <w:proofErr w:type="gramEnd"/>
      <w:r w:rsidRPr="00652F7D">
        <w:t>账的功能</w:t>
      </w:r>
      <w:r w:rsidRPr="00652F7D">
        <w:t> </w:t>
      </w:r>
      <w:r w:rsidR="00067493" w:rsidRPr="00067493">
        <w:rPr>
          <w:color w:val="FF0000"/>
        </w:rPr>
        <w:t>(</w:t>
      </w:r>
      <w:r w:rsidR="00067493" w:rsidRPr="00067493">
        <w:rPr>
          <w:rFonts w:hint="eastAsia"/>
          <w:color w:val="FF0000"/>
        </w:rPr>
        <w:t>已处理</w:t>
      </w:r>
      <w:r w:rsidR="00067493" w:rsidRPr="00067493">
        <w:rPr>
          <w:color w:val="FF0000"/>
        </w:rPr>
        <w:t>)</w:t>
      </w:r>
    </w:p>
    <w:p w:rsidR="006034D0" w:rsidRPr="00652F7D" w:rsidRDefault="006034D0" w:rsidP="006034D0">
      <w:pPr>
        <w:pStyle w:val="a7"/>
        <w:numPr>
          <w:ilvl w:val="0"/>
          <w:numId w:val="2"/>
        </w:numPr>
        <w:ind w:firstLineChars="0"/>
      </w:pPr>
      <w:r w:rsidRPr="00652F7D">
        <w:t> </w:t>
      </w:r>
      <w:r w:rsidRPr="00652F7D">
        <w:t>搜索功能太弱</w:t>
      </w:r>
      <w:r w:rsidRPr="00652F7D">
        <w:t>  </w:t>
      </w:r>
    </w:p>
    <w:p w:rsidR="00670B70" w:rsidRPr="00652F7D" w:rsidRDefault="00D53BB3" w:rsidP="00D31D50">
      <w:pPr>
        <w:spacing w:line="220" w:lineRule="atLeast"/>
        <w:rPr>
          <w:sz w:val="32"/>
          <w:szCs w:val="32"/>
        </w:rPr>
      </w:pPr>
      <w:r w:rsidRPr="00652F7D">
        <w:rPr>
          <w:rFonts w:hint="eastAsia"/>
          <w:sz w:val="32"/>
          <w:szCs w:val="32"/>
        </w:rPr>
        <w:t>三、</w:t>
      </w:r>
      <w:r w:rsidR="00670B70" w:rsidRPr="00652F7D">
        <w:rPr>
          <w:rFonts w:hint="eastAsia"/>
          <w:sz w:val="32"/>
          <w:szCs w:val="32"/>
        </w:rPr>
        <w:t>造价部：</w:t>
      </w:r>
    </w:p>
    <w:p w:rsidR="002D02C5" w:rsidRDefault="00670B70" w:rsidP="00670B70">
      <w:pPr>
        <w:pStyle w:val="a7"/>
        <w:numPr>
          <w:ilvl w:val="0"/>
          <w:numId w:val="1"/>
        </w:numPr>
        <w:spacing w:line="220" w:lineRule="atLeast"/>
        <w:ind w:firstLineChars="0"/>
      </w:pPr>
      <w:r w:rsidRPr="00652F7D">
        <w:rPr>
          <w:rFonts w:hint="eastAsia"/>
        </w:rPr>
        <w:t>成本季度反馈将进度结算和形象进度审批支付关联上；</w:t>
      </w:r>
    </w:p>
    <w:p w:rsidR="00670B70" w:rsidRPr="00652F7D" w:rsidRDefault="00670B70" w:rsidP="00670B70">
      <w:pPr>
        <w:pStyle w:val="a7"/>
        <w:numPr>
          <w:ilvl w:val="0"/>
          <w:numId w:val="1"/>
        </w:numPr>
        <w:spacing w:line="220" w:lineRule="atLeast"/>
        <w:ind w:firstLineChars="0"/>
      </w:pPr>
      <w:r w:rsidRPr="00652F7D">
        <w:rPr>
          <w:rFonts w:hint="eastAsia"/>
        </w:rPr>
        <w:t>施工图预算增加流程设置。</w:t>
      </w:r>
    </w:p>
    <w:p w:rsidR="00D53BB3" w:rsidRPr="002D02C5" w:rsidRDefault="00670B70" w:rsidP="00D53BB3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52F7D">
        <w:t>签证变更的费用需关联进入成本控制中。</w:t>
      </w:r>
      <w:r w:rsidR="00265E41" w:rsidRPr="002D02C5">
        <w:rPr>
          <w:rFonts w:hint="eastAsia"/>
          <w:color w:val="FF0000"/>
        </w:rPr>
        <w:t xml:space="preserve"> </w:t>
      </w:r>
    </w:p>
    <w:p w:rsidR="00F921A2" w:rsidRDefault="00652F7D" w:rsidP="00652F7D">
      <w:pPr>
        <w:pStyle w:val="a7"/>
        <w:ind w:leftChars="-127" w:left="-279" w:firstLineChars="87" w:firstLine="278"/>
        <w:rPr>
          <w:sz w:val="32"/>
          <w:szCs w:val="32"/>
        </w:rPr>
      </w:pPr>
      <w:r>
        <w:rPr>
          <w:rFonts w:hint="eastAsia"/>
          <w:sz w:val="32"/>
          <w:szCs w:val="32"/>
        </w:rPr>
        <w:t>四、</w:t>
      </w:r>
      <w:r w:rsidR="00F921A2">
        <w:rPr>
          <w:rFonts w:hint="eastAsia"/>
          <w:sz w:val="32"/>
          <w:szCs w:val="32"/>
        </w:rPr>
        <w:t>运行部</w:t>
      </w:r>
    </w:p>
    <w:p w:rsidR="00F921A2" w:rsidRDefault="007A396C" w:rsidP="007A396C">
      <w:pPr>
        <w:pStyle w:val="a7"/>
        <w:ind w:leftChars="-127" w:left="-279" w:firstLineChars="87" w:firstLine="191"/>
      </w:pPr>
      <w:r w:rsidRPr="007A396C">
        <w:rPr>
          <w:rFonts w:hint="eastAsia"/>
        </w:rPr>
        <w:t>1</w:t>
      </w:r>
      <w:r w:rsidRPr="007A396C">
        <w:rPr>
          <w:rFonts w:hint="eastAsia"/>
        </w:rPr>
        <w:t>、综合管理</w:t>
      </w:r>
      <w:r>
        <w:rPr>
          <w:rFonts w:hint="eastAsia"/>
        </w:rPr>
        <w:t>模块中涉及时间的比如用车管理、加班管理、出租车管理等均要求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时间“这栏可编辑，</w:t>
      </w:r>
      <w:r w:rsidR="00266A59">
        <w:rPr>
          <w:rFonts w:hint="eastAsia"/>
        </w:rPr>
        <w:t>方便操作</w:t>
      </w:r>
      <w:r w:rsidR="007D09AE" w:rsidRPr="007D09AE">
        <w:rPr>
          <w:rFonts w:hint="eastAsia"/>
          <w:color w:val="FF0000"/>
        </w:rPr>
        <w:t>（已处理）</w:t>
      </w:r>
    </w:p>
    <w:p w:rsidR="00266A59" w:rsidRPr="007A396C" w:rsidRDefault="00266A59" w:rsidP="007A396C">
      <w:pPr>
        <w:pStyle w:val="a7"/>
        <w:ind w:leftChars="-127" w:left="-279" w:firstLineChars="87" w:firstLine="191"/>
      </w:pPr>
      <w:r>
        <w:rPr>
          <w:rFonts w:hint="eastAsia"/>
          <w:noProof/>
        </w:rPr>
        <w:drawing>
          <wp:inline distT="0" distB="0" distL="0" distR="0">
            <wp:extent cx="5327650" cy="2113666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81" cy="211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1A2" w:rsidRPr="007E6C23" w:rsidRDefault="007E6C23" w:rsidP="007E6C23">
      <w:pPr>
        <w:pStyle w:val="a7"/>
        <w:ind w:leftChars="-65" w:left="-2" w:hangingChars="44" w:hanging="141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6073E5" w:rsidRPr="007E6C23">
        <w:rPr>
          <w:rFonts w:hint="eastAsia"/>
          <w:sz w:val="32"/>
          <w:szCs w:val="32"/>
        </w:rPr>
        <w:t>综合管理模块下的档案管理</w:t>
      </w:r>
      <w:r w:rsidR="006073E5" w:rsidRPr="007E6C23">
        <w:rPr>
          <w:sz w:val="32"/>
          <w:szCs w:val="32"/>
        </w:rPr>
        <w:t>—</w:t>
      </w:r>
      <w:r w:rsidR="006073E5" w:rsidRPr="007E6C23">
        <w:rPr>
          <w:rFonts w:hint="eastAsia"/>
          <w:sz w:val="32"/>
          <w:szCs w:val="32"/>
        </w:rPr>
        <w:t>档案借阅，目前无档案目录，查阅不便，建议设置档案目录，并且有导入功能，便</w:t>
      </w:r>
      <w:r w:rsidR="006073E5" w:rsidRPr="007E6C23">
        <w:rPr>
          <w:rFonts w:hint="eastAsia"/>
          <w:sz w:val="32"/>
          <w:szCs w:val="32"/>
        </w:rPr>
        <w:t xml:space="preserve"> </w:t>
      </w:r>
      <w:r w:rsidR="006073E5" w:rsidRPr="007E6C23">
        <w:rPr>
          <w:rFonts w:hint="eastAsia"/>
          <w:sz w:val="32"/>
          <w:szCs w:val="32"/>
        </w:rPr>
        <w:t>于将现有档案目录一次性导入。</w:t>
      </w:r>
    </w:p>
    <w:p w:rsidR="00F921A2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370916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E5" w:rsidRPr="006073E5" w:rsidRDefault="007E6C23" w:rsidP="006073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</w:p>
    <w:p w:rsidR="006073E5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</w:p>
    <w:p w:rsidR="006073E5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</w:p>
    <w:p w:rsidR="006073E5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</w:p>
    <w:p w:rsidR="006073E5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</w:p>
    <w:p w:rsidR="006073E5" w:rsidRDefault="006073E5" w:rsidP="00652F7D">
      <w:pPr>
        <w:pStyle w:val="a7"/>
        <w:ind w:leftChars="-127" w:left="-279" w:firstLineChars="87" w:firstLine="278"/>
        <w:rPr>
          <w:sz w:val="32"/>
          <w:szCs w:val="32"/>
        </w:rPr>
      </w:pPr>
    </w:p>
    <w:p w:rsidR="008F1C57" w:rsidRPr="00D53BB3" w:rsidRDefault="00F921A2" w:rsidP="00652F7D">
      <w:pPr>
        <w:pStyle w:val="a7"/>
        <w:ind w:leftChars="-127" w:left="-279" w:firstLineChars="87" w:firstLine="278"/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 w:rsidR="00D53BB3">
        <w:rPr>
          <w:rFonts w:hint="eastAsia"/>
          <w:sz w:val="32"/>
          <w:szCs w:val="32"/>
        </w:rPr>
        <w:t>设计部：</w:t>
      </w:r>
      <w:r w:rsidR="00265E41" w:rsidRPr="00D53BB3">
        <w:rPr>
          <w:rFonts w:hint="eastAsia"/>
          <w:sz w:val="32"/>
          <w:szCs w:val="32"/>
        </w:rPr>
        <w:t xml:space="preserve">   </w:t>
      </w:r>
      <w:r w:rsidR="00652F7D">
        <w:rPr>
          <w:rFonts w:hint="eastAsia"/>
          <w:sz w:val="32"/>
          <w:szCs w:val="32"/>
        </w:rPr>
        <w:t xml:space="preserve"> 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、设计管理</w:t>
      </w:r>
      <w:r>
        <w:rPr>
          <w:rFonts w:hint="eastAsia"/>
        </w:rPr>
        <w:t>-</w:t>
      </w:r>
      <w:r>
        <w:rPr>
          <w:rFonts w:hint="eastAsia"/>
        </w:rPr>
        <w:t>设计总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建议优化目录显示方式。不要一层一层总分形式，每项单独显示。</w:t>
      </w:r>
    </w:p>
    <w:p w:rsidR="008F1C57" w:rsidRDefault="008F1C57" w:rsidP="008F1C57">
      <w:pPr>
        <w:ind w:firstLine="480"/>
      </w:pPr>
      <w:r>
        <w:rPr>
          <w:noProof/>
        </w:rPr>
        <w:drawing>
          <wp:inline distT="0" distB="0" distL="0" distR="0">
            <wp:extent cx="4838700" cy="2400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1C57" w:rsidRDefault="008F1C57" w:rsidP="008F1C57">
      <w:pPr>
        <w:pStyle w:val="a7"/>
        <w:widowControl w:val="0"/>
        <w:adjustRightInd/>
        <w:snapToGrid/>
        <w:ind w:firstLine="440"/>
      </w:pPr>
      <w:r>
        <w:rPr>
          <w:rFonts w:hint="eastAsia"/>
        </w:rPr>
        <w:t>比如我现在有</w:t>
      </w:r>
      <w:r>
        <w:rPr>
          <w:rFonts w:hint="eastAsia"/>
        </w:rPr>
        <w:t xml:space="preserve"> </w:t>
      </w:r>
      <w:r>
        <w:rPr>
          <w:rFonts w:hint="eastAsia"/>
        </w:rPr>
        <w:t>技术规格书一、二、三</w:t>
      </w:r>
      <w:r>
        <w:rPr>
          <w:rFonts w:hint="eastAsia"/>
        </w:rPr>
        <w:t xml:space="preserve"> </w:t>
      </w:r>
      <w:r>
        <w:rPr>
          <w:rFonts w:hint="eastAsia"/>
        </w:rPr>
        <w:t>；技术协议</w:t>
      </w:r>
      <w:r>
        <w:rPr>
          <w:rFonts w:hint="eastAsia"/>
        </w:rPr>
        <w:t xml:space="preserve"> 1 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；设计提资①②③；设计校审（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），现在的显示方式是下面这种，一个施工图就几百上千页，难以查找。</w:t>
      </w:r>
    </w:p>
    <w:p w:rsidR="008F1C57" w:rsidRDefault="008F1C57" w:rsidP="008F1C57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771650" cy="1809750"/>
            <wp:effectExtent l="19050" t="0" r="0" b="0"/>
            <wp:docPr id="2" name="图片 4" descr="D:\我的文档\Tencent Files\944403491\FileRecv\MobileFile\IMG_20190416_09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D:\我的文档\Tencent Files\944403491\FileRecv\MobileFile\IMG_20190416_0910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1C57" w:rsidRDefault="008F1C57" w:rsidP="008F1C57">
      <w:pPr>
        <w:pStyle w:val="a7"/>
        <w:ind w:left="360" w:firstLineChars="0" w:firstLine="0"/>
      </w:pPr>
      <w:r>
        <w:rPr>
          <w:rFonts w:hint="eastAsia"/>
        </w:rPr>
        <w:t>改成这种显示方式，每项单独显示：</w:t>
      </w:r>
    </w:p>
    <w:p w:rsidR="008F1C57" w:rsidRDefault="008F1C57" w:rsidP="008F1C57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00225" cy="2400300"/>
            <wp:effectExtent l="323850" t="0" r="295275" b="0"/>
            <wp:docPr id="3" name="图片 3" descr="D:\我的文档\Tencent Files\944403491\FileRecv\MobileFile\1555377485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:\我的文档\Tencent Files\944403491\FileRecv\MobileFile\155537748524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800225" cy="2400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1C57" w:rsidRDefault="008F1C57" w:rsidP="008F1C57">
      <w:pPr>
        <w:pStyle w:val="a7"/>
        <w:ind w:left="360" w:firstLineChars="0" w:firstLine="0"/>
      </w:pP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、技术规格书评审、技术协议编制、设计校审等，无论校审人员、审核人员有无意见、流程上都需要校审人员、审核人员审两次，如果无意间，很浪费时间；如果意见很多，</w:t>
      </w:r>
      <w:proofErr w:type="gramStart"/>
      <w:r>
        <w:rPr>
          <w:rFonts w:hint="eastAsia"/>
        </w:rPr>
        <w:t>只审两次</w:t>
      </w:r>
      <w:proofErr w:type="gramEnd"/>
      <w:r>
        <w:rPr>
          <w:rFonts w:hint="eastAsia"/>
        </w:rPr>
        <w:t>又不够。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建议在设计人员、校审人员和审核人员审批流程上增加人员选项，选择下一步流程到谁。比如如果校核有意见，就选择流程到设计人员；如果没意见，就选择到审核人员；如果几次修改，校审人员都觉得需要优化修改，就可以一直选择设计人员。</w:t>
      </w:r>
    </w:p>
    <w:p w:rsidR="008F1C57" w:rsidRDefault="008F1C57" w:rsidP="008F1C57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6850" cy="685800"/>
            <wp:effectExtent l="1905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、信息化</w:t>
      </w:r>
      <w:proofErr w:type="gramStart"/>
      <w:r>
        <w:rPr>
          <w:rFonts w:hint="eastAsia"/>
        </w:rPr>
        <w:t>上回说</w:t>
      </w:r>
      <w:proofErr w:type="gramEnd"/>
      <w:r>
        <w:rPr>
          <w:rFonts w:hint="eastAsia"/>
        </w:rPr>
        <w:t>的那个在我们整个项目采购提资的时候添加设备，从目标中选取的时候可以给我们加一列设计提资备注。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、设计提资有附件没有自动关联，有附件的也显示无，项目负责人认定无流程，打印任务书无签字。</w:t>
      </w:r>
      <w:bookmarkStart w:id="0" w:name="_GoBack"/>
      <w:bookmarkEnd w:id="0"/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lastRenderedPageBreak/>
        <w:t>5</w:t>
      </w:r>
      <w:r>
        <w:rPr>
          <w:rFonts w:hint="eastAsia"/>
        </w:rPr>
        <w:t>、技术文件会审：电气只能选择陈自强、土建专业只能</w:t>
      </w:r>
      <w:proofErr w:type="gramStart"/>
      <w:r>
        <w:rPr>
          <w:rFonts w:hint="eastAsia"/>
        </w:rPr>
        <w:t>选择雷秀明</w:t>
      </w:r>
      <w:proofErr w:type="gramEnd"/>
      <w:r>
        <w:rPr>
          <w:rFonts w:hint="eastAsia"/>
        </w:rPr>
        <w:t>，应添加电气专业和土建专业其他人员。会审时负责项目设计当事人最了解项目的实际情况。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6</w:t>
      </w:r>
      <w:r>
        <w:t>、公司外</w:t>
      </w:r>
      <w:proofErr w:type="gramStart"/>
      <w:r>
        <w:t>委项目</w:t>
      </w:r>
      <w:proofErr w:type="gramEnd"/>
      <w:r>
        <w:t>是否需要网上提交申请，成果也应该在系统上传存档；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7</w:t>
      </w:r>
      <w:r>
        <w:t>、上传的附件文件能否不需要下载，直接网页预览，浏览器加载插件即可实现；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8</w:t>
      </w:r>
      <w:r>
        <w:t>、建议重大技术问题或重要的项目建议进行公司级评审，评审申请流程及会议纪要等也建议在信息化系统留存；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9</w:t>
      </w:r>
      <w:r>
        <w:t>、设计成果附件下载建议设置一定的权限，建议审批下载；</w:t>
      </w:r>
    </w:p>
    <w:p w:rsidR="008F1C57" w:rsidRDefault="008F1C57" w:rsidP="008F1C57">
      <w:pPr>
        <w:pStyle w:val="a7"/>
        <w:widowControl w:val="0"/>
        <w:adjustRightInd/>
        <w:snapToGrid/>
        <w:ind w:firstLineChars="0" w:firstLine="0"/>
      </w:pPr>
      <w:r>
        <w:rPr>
          <w:rFonts w:hint="eastAsia"/>
        </w:rPr>
        <w:t>10</w:t>
      </w:r>
      <w:r>
        <w:t>、设计总</w:t>
      </w:r>
      <w:proofErr w:type="gramStart"/>
      <w:r>
        <w:t>览</w:t>
      </w:r>
      <w:proofErr w:type="gramEnd"/>
      <w:r>
        <w:t>建议设置项目文件，将该项目的所有过程文件均纳入其中，便于后期查阅管理。</w:t>
      </w:r>
    </w:p>
    <w:p w:rsidR="00670B70" w:rsidRPr="008F1C57" w:rsidRDefault="00670B70" w:rsidP="008F1C57">
      <w:pPr>
        <w:rPr>
          <w:sz w:val="32"/>
          <w:szCs w:val="32"/>
        </w:rPr>
      </w:pPr>
    </w:p>
    <w:p w:rsidR="00670B70" w:rsidRDefault="00F921A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六、</w:t>
      </w:r>
      <w:r w:rsidR="00F60912">
        <w:rPr>
          <w:rFonts w:hint="eastAsia"/>
          <w:sz w:val="32"/>
          <w:szCs w:val="32"/>
        </w:rPr>
        <w:t>安环部：</w:t>
      </w:r>
    </w:p>
    <w:p w:rsidR="004358AB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</w:t>
      </w:r>
      <w:r w:rsidRPr="00386B6A">
        <w:rPr>
          <w:rFonts w:hint="eastAsia"/>
        </w:rPr>
        <w:t>、综合管理模块</w:t>
      </w:r>
      <w:r w:rsidRPr="00386B6A">
        <w:rPr>
          <w:rFonts w:hint="eastAsia"/>
        </w:rPr>
        <w:t>-</w:t>
      </w:r>
      <w:r w:rsidRPr="00386B6A">
        <w:rPr>
          <w:rFonts w:hint="eastAsia"/>
        </w:rPr>
        <w:t>考勤管理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如果部门</w:t>
      </w:r>
      <w:proofErr w:type="gramStart"/>
      <w:r w:rsidRPr="00386B6A">
        <w:rPr>
          <w:rFonts w:hint="eastAsia"/>
        </w:rPr>
        <w:t>给甲打了</w:t>
      </w:r>
      <w:proofErr w:type="gramEnd"/>
      <w:r w:rsidRPr="00386B6A">
        <w:rPr>
          <w:rFonts w:hint="eastAsia"/>
        </w:rPr>
        <w:t>2.1-2.5</w:t>
      </w:r>
      <w:r w:rsidRPr="00386B6A">
        <w:rPr>
          <w:rFonts w:hint="eastAsia"/>
        </w:rPr>
        <w:t>号</w:t>
      </w:r>
      <w:r w:rsidRPr="00386B6A">
        <w:rPr>
          <w:rFonts w:hint="eastAsia"/>
        </w:rPr>
        <w:t>5</w:t>
      </w:r>
      <w:r w:rsidRPr="00386B6A">
        <w:rPr>
          <w:rFonts w:hint="eastAsia"/>
        </w:rPr>
        <w:t>天的全勤，项目上也打了“在公司”，考勤汇总时将出现“实际出勤天数</w:t>
      </w:r>
      <w:r w:rsidRPr="00386B6A">
        <w:rPr>
          <w:rFonts w:hint="eastAsia"/>
        </w:rPr>
        <w:t>+5</w:t>
      </w:r>
      <w:r w:rsidRPr="00386B6A">
        <w:rPr>
          <w:rFonts w:hint="eastAsia"/>
        </w:rPr>
        <w:t>”的错误结果。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2</w:t>
      </w:r>
      <w:r w:rsidRPr="00386B6A">
        <w:rPr>
          <w:rFonts w:hint="eastAsia"/>
        </w:rPr>
        <w:t>、部门联系单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状态栏建议增加筛选功能，便于查找。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3</w:t>
      </w:r>
      <w:r w:rsidRPr="00386B6A">
        <w:rPr>
          <w:rFonts w:hint="eastAsia"/>
        </w:rPr>
        <w:t>、请示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调整请示内容框和打印框尺寸相符，以便打印时不会发生格式变化。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4</w:t>
      </w:r>
      <w:r w:rsidRPr="00386B6A">
        <w:rPr>
          <w:rFonts w:hint="eastAsia"/>
        </w:rPr>
        <w:t>、运行管理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生产管理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水质指标</w:t>
      </w:r>
    </w:p>
    <w:p w:rsidR="00505BCC" w:rsidRPr="00386B6A" w:rsidRDefault="00505BCC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工艺控制</w:t>
      </w:r>
      <w:r w:rsidR="00560218" w:rsidRPr="00386B6A">
        <w:rPr>
          <w:rFonts w:hint="eastAsia"/>
        </w:rPr>
        <w:t>节点或参数，各个站点有所不同（例如丰盛，</w:t>
      </w:r>
      <w:proofErr w:type="gramStart"/>
      <w:r w:rsidR="00560218" w:rsidRPr="00386B6A">
        <w:rPr>
          <w:rFonts w:hint="eastAsia"/>
        </w:rPr>
        <w:t>硝化池无总氮</w:t>
      </w:r>
      <w:proofErr w:type="gramEnd"/>
      <w:r w:rsidR="00560218" w:rsidRPr="00386B6A">
        <w:rPr>
          <w:rFonts w:hint="eastAsia"/>
        </w:rPr>
        <w:t>、电导率、</w:t>
      </w:r>
      <w:r w:rsidR="00560218" w:rsidRPr="00386B6A">
        <w:rPr>
          <w:rFonts w:hint="eastAsia"/>
        </w:rPr>
        <w:t>ph</w:t>
      </w:r>
      <w:r w:rsidR="00560218" w:rsidRPr="00386B6A">
        <w:rPr>
          <w:rFonts w:hint="eastAsia"/>
        </w:rPr>
        <w:t>等参数），建议根据实际情况调整。</w:t>
      </w:r>
    </w:p>
    <w:p w:rsidR="00560218" w:rsidRPr="00386B6A" w:rsidRDefault="00560218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5</w:t>
      </w:r>
      <w:r w:rsidRPr="00386B6A">
        <w:rPr>
          <w:rFonts w:hint="eastAsia"/>
        </w:rPr>
        <w:t>、设备检修管理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特种设备档案</w:t>
      </w:r>
    </w:p>
    <w:p w:rsidR="00560218" w:rsidRPr="00386B6A" w:rsidRDefault="00DF5DFB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5.1</w:t>
      </w:r>
      <w:r w:rsidRPr="00386B6A">
        <w:rPr>
          <w:rFonts w:hint="eastAsia"/>
        </w:rPr>
        <w:t>增设特种设备汇总表（可编辑、可导出）；</w:t>
      </w:r>
    </w:p>
    <w:p w:rsidR="00DF5DFB" w:rsidRPr="00386B6A" w:rsidRDefault="00DF5DFB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 xml:space="preserve">5.2 </w:t>
      </w:r>
      <w:r w:rsidRPr="00386B6A">
        <w:rPr>
          <w:rFonts w:hint="eastAsia"/>
        </w:rPr>
        <w:t>可否根据应检日期，到期前</w:t>
      </w:r>
      <w:r w:rsidRPr="00386B6A">
        <w:rPr>
          <w:rFonts w:hint="eastAsia"/>
        </w:rPr>
        <w:t>60</w:t>
      </w:r>
      <w:r w:rsidRPr="00386B6A">
        <w:rPr>
          <w:rFonts w:hint="eastAsia"/>
        </w:rPr>
        <w:t>天设置提醒事项，提醒对象为站长。</w:t>
      </w:r>
    </w:p>
    <w:p w:rsidR="00DF5DFB" w:rsidRPr="00386B6A" w:rsidRDefault="00DF5DFB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6</w:t>
      </w:r>
      <w:r w:rsidRPr="00386B6A">
        <w:rPr>
          <w:rFonts w:hint="eastAsia"/>
        </w:rPr>
        <w:t>、</w:t>
      </w:r>
      <w:r w:rsidR="00450C8A" w:rsidRPr="00386B6A">
        <w:rPr>
          <w:rFonts w:hint="eastAsia"/>
        </w:rPr>
        <w:t>HSE</w:t>
      </w:r>
      <w:r w:rsidR="00450C8A" w:rsidRPr="00386B6A">
        <w:rPr>
          <w:rFonts w:hint="eastAsia"/>
        </w:rPr>
        <w:t>管理</w:t>
      </w:r>
      <w:r w:rsidR="00450C8A" w:rsidRPr="00386B6A">
        <w:rPr>
          <w:rFonts w:hint="eastAsia"/>
        </w:rPr>
        <w:t>-</w:t>
      </w:r>
      <w:r w:rsidR="00450C8A" w:rsidRPr="00386B6A">
        <w:rPr>
          <w:rFonts w:hint="eastAsia"/>
        </w:rPr>
        <w:t>监督检查</w:t>
      </w:r>
      <w:r w:rsidR="00450C8A" w:rsidRPr="00386B6A">
        <w:rPr>
          <w:rFonts w:hint="eastAsia"/>
        </w:rPr>
        <w:t>-</w:t>
      </w:r>
      <w:r w:rsidR="00450C8A" w:rsidRPr="00386B6A">
        <w:rPr>
          <w:rFonts w:hint="eastAsia"/>
        </w:rPr>
        <w:t>整改通知</w:t>
      </w:r>
      <w:r w:rsidR="00450C8A" w:rsidRPr="00386B6A">
        <w:rPr>
          <w:rFonts w:hint="eastAsia"/>
        </w:rPr>
        <w:t>/</w:t>
      </w:r>
      <w:r w:rsidR="00450C8A" w:rsidRPr="00386B6A">
        <w:rPr>
          <w:rFonts w:hint="eastAsia"/>
        </w:rPr>
        <w:t>整改回复</w:t>
      </w:r>
    </w:p>
    <w:p w:rsidR="00435FDD" w:rsidRPr="00386B6A" w:rsidRDefault="00450C8A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lastRenderedPageBreak/>
        <w:t>6.1</w:t>
      </w:r>
      <w:r w:rsidRPr="00386B6A">
        <w:rPr>
          <w:rFonts w:hint="eastAsia"/>
        </w:rPr>
        <w:t>整改通知：</w:t>
      </w:r>
    </w:p>
    <w:p w:rsidR="00435FDD" w:rsidRPr="00386B6A" w:rsidRDefault="00435FDD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6.1.</w:t>
      </w:r>
      <w:r w:rsidRPr="00386B6A">
        <w:rPr>
          <w:rFonts w:hint="eastAsia"/>
        </w:rPr>
        <w:t>基本信息</w:t>
      </w:r>
      <w:r w:rsidRPr="00386B6A">
        <w:rPr>
          <w:rFonts w:hint="eastAsia"/>
        </w:rPr>
        <w:t>-</w:t>
      </w:r>
      <w:r w:rsidRPr="00386B6A">
        <w:rPr>
          <w:rFonts w:hint="eastAsia"/>
        </w:rPr>
        <w:t>检查部门，设置为可多选或者手动输入。</w:t>
      </w:r>
    </w:p>
    <w:p w:rsidR="00435FDD" w:rsidRPr="00386B6A" w:rsidRDefault="00435FDD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6.2.</w:t>
      </w:r>
      <w:r w:rsidR="00450C8A" w:rsidRPr="00386B6A">
        <w:rPr>
          <w:rFonts w:hint="eastAsia"/>
        </w:rPr>
        <w:t>整改通知明细表增加整改回复列（实际采取的整改措施、整改情况、整改时间、备注等），打印整改通知时隐藏该部分内容，将通知</w:t>
      </w:r>
      <w:proofErr w:type="gramStart"/>
      <w:r w:rsidR="00450C8A" w:rsidRPr="00386B6A">
        <w:rPr>
          <w:rFonts w:hint="eastAsia"/>
        </w:rPr>
        <w:t>表设置</w:t>
      </w:r>
      <w:proofErr w:type="gramEnd"/>
      <w:r w:rsidR="00450C8A" w:rsidRPr="00386B6A">
        <w:rPr>
          <w:rFonts w:hint="eastAsia"/>
        </w:rPr>
        <w:t>为可导出（</w:t>
      </w:r>
      <w:r w:rsidR="00450C8A" w:rsidRPr="00386B6A">
        <w:rPr>
          <w:rFonts w:hint="eastAsia"/>
        </w:rPr>
        <w:t>EXCEL</w:t>
      </w:r>
      <w:r w:rsidR="00450C8A" w:rsidRPr="00386B6A">
        <w:rPr>
          <w:rFonts w:hint="eastAsia"/>
        </w:rPr>
        <w:t>格式，便于整改回复）。</w:t>
      </w:r>
    </w:p>
    <w:p w:rsidR="00505BCC" w:rsidRPr="00386B6A" w:rsidRDefault="00450C8A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6.</w:t>
      </w:r>
      <w:r w:rsidR="00435FDD" w:rsidRPr="00386B6A">
        <w:rPr>
          <w:rFonts w:hint="eastAsia"/>
        </w:rPr>
        <w:t>3</w:t>
      </w:r>
      <w:r w:rsidRPr="00386B6A">
        <w:rPr>
          <w:rFonts w:hint="eastAsia"/>
        </w:rPr>
        <w:t>整改回复：整改回复</w:t>
      </w:r>
      <w:r w:rsidR="00B71941" w:rsidRPr="00386B6A">
        <w:rPr>
          <w:rFonts w:hint="eastAsia"/>
        </w:rPr>
        <w:t>明细</w:t>
      </w:r>
      <w:r w:rsidRPr="00386B6A">
        <w:rPr>
          <w:rFonts w:hint="eastAsia"/>
        </w:rPr>
        <w:t>内</w:t>
      </w:r>
      <w:r w:rsidR="00B71941" w:rsidRPr="00386B6A">
        <w:rPr>
          <w:rFonts w:hint="eastAsia"/>
        </w:rPr>
        <w:t>增设</w:t>
      </w:r>
      <w:r w:rsidRPr="00386B6A">
        <w:rPr>
          <w:rFonts w:hint="eastAsia"/>
        </w:rPr>
        <w:t>操作按钮（</w:t>
      </w:r>
      <w:r w:rsidR="00B71941" w:rsidRPr="00386B6A">
        <w:rPr>
          <w:rFonts w:hint="eastAsia"/>
        </w:rPr>
        <w:t>整改回复接收人操作，完成或未完成</w:t>
      </w:r>
      <w:r w:rsidRPr="00386B6A">
        <w:rPr>
          <w:rFonts w:hint="eastAsia"/>
        </w:rPr>
        <w:t>）</w:t>
      </w:r>
      <w:r w:rsidR="00B71941" w:rsidRPr="00386B6A">
        <w:rPr>
          <w:rFonts w:hint="eastAsia"/>
        </w:rPr>
        <w:t>，整个整改回复（未完成项）返回至填报人，填报人重新整改完成且回复后，再送审，该流程循环直至该通知回复全部项目完成。</w:t>
      </w:r>
    </w:p>
    <w:p w:rsidR="00B71941" w:rsidRPr="00386B6A" w:rsidRDefault="00B7194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6.</w:t>
      </w:r>
      <w:r w:rsidR="00435FDD" w:rsidRPr="00386B6A">
        <w:rPr>
          <w:rFonts w:hint="eastAsia"/>
        </w:rPr>
        <w:t>4</w:t>
      </w:r>
      <w:r w:rsidRPr="00386B6A">
        <w:rPr>
          <w:rFonts w:hint="eastAsia"/>
        </w:rPr>
        <w:t>增设隐患整改通知、回复汇总表，汇总表为</w:t>
      </w:r>
      <w:r w:rsidRPr="00386B6A">
        <w:rPr>
          <w:rFonts w:hint="eastAsia"/>
        </w:rPr>
        <w:t>excel</w:t>
      </w:r>
      <w:r w:rsidRPr="00386B6A">
        <w:rPr>
          <w:rFonts w:hint="eastAsia"/>
        </w:rPr>
        <w:t>格式，汇总表可编辑、可导出。</w:t>
      </w:r>
    </w:p>
    <w:p w:rsidR="00B71941" w:rsidRPr="00386B6A" w:rsidRDefault="00B7194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7</w:t>
      </w:r>
      <w:r w:rsidRPr="00386B6A">
        <w:rPr>
          <w:rFonts w:hint="eastAsia"/>
        </w:rPr>
        <w:t>、</w:t>
      </w:r>
      <w:r w:rsidRPr="00386B6A">
        <w:rPr>
          <w:rFonts w:hint="eastAsia"/>
        </w:rPr>
        <w:t>HSE</w:t>
      </w:r>
      <w:r w:rsidRPr="00386B6A">
        <w:rPr>
          <w:rFonts w:hint="eastAsia"/>
        </w:rPr>
        <w:t>管理</w:t>
      </w:r>
      <w:r w:rsidRPr="00386B6A">
        <w:rPr>
          <w:rFonts w:hint="eastAsia"/>
        </w:rPr>
        <w:t>-HSE</w:t>
      </w:r>
      <w:r w:rsidRPr="00386B6A">
        <w:rPr>
          <w:rFonts w:hint="eastAsia"/>
        </w:rPr>
        <w:t>奖惩</w:t>
      </w:r>
    </w:p>
    <w:p w:rsidR="00B71941" w:rsidRPr="00386B6A" w:rsidRDefault="00B7194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增加奖惩汇总表，汇总表可编辑、可导出。</w:t>
      </w:r>
    </w:p>
    <w:p w:rsidR="00B71941" w:rsidRPr="00386B6A" w:rsidRDefault="00B7194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8</w:t>
      </w:r>
      <w:r w:rsidRPr="00386B6A">
        <w:rPr>
          <w:rFonts w:hint="eastAsia"/>
        </w:rPr>
        <w:t>、</w:t>
      </w:r>
      <w:r w:rsidRPr="00386B6A">
        <w:rPr>
          <w:rFonts w:hint="eastAsia"/>
        </w:rPr>
        <w:t>HSE</w:t>
      </w:r>
      <w:r w:rsidRPr="00386B6A">
        <w:rPr>
          <w:rFonts w:hint="eastAsia"/>
        </w:rPr>
        <w:t>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教育培训</w:t>
      </w:r>
    </w:p>
    <w:p w:rsidR="00B71941" w:rsidRPr="00386B6A" w:rsidRDefault="00B7194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8.1</w:t>
      </w:r>
      <w:proofErr w:type="gramStart"/>
      <w:r w:rsidRPr="00386B6A">
        <w:rPr>
          <w:rFonts w:hint="eastAsia"/>
        </w:rPr>
        <w:t>三</w:t>
      </w:r>
      <w:proofErr w:type="gramEnd"/>
      <w:r w:rsidRPr="00386B6A">
        <w:rPr>
          <w:rFonts w:hint="eastAsia"/>
        </w:rPr>
        <w:t>级安全教育：</w:t>
      </w:r>
      <w:r w:rsidR="007A2AB6" w:rsidRPr="00386B6A">
        <w:rPr>
          <w:rFonts w:hint="eastAsia"/>
        </w:rPr>
        <w:t>每个人一个流程，一级教育由安全环保部负责录入，录入完成后送审</w:t>
      </w:r>
      <w:proofErr w:type="gramStart"/>
      <w:r w:rsidR="007A2AB6" w:rsidRPr="00386B6A">
        <w:rPr>
          <w:rFonts w:hint="eastAsia"/>
        </w:rPr>
        <w:t>至相应</w:t>
      </w:r>
      <w:proofErr w:type="gramEnd"/>
      <w:r w:rsidR="007A2AB6" w:rsidRPr="00386B6A">
        <w:rPr>
          <w:rFonts w:hint="eastAsia"/>
        </w:rPr>
        <w:t>部门负责人</w:t>
      </w:r>
      <w:r w:rsidR="007A2AB6" w:rsidRPr="00386B6A">
        <w:rPr>
          <w:rFonts w:hint="eastAsia"/>
        </w:rPr>
        <w:t>/</w:t>
      </w:r>
      <w:r w:rsidR="007A2AB6" w:rsidRPr="00386B6A">
        <w:rPr>
          <w:rFonts w:hint="eastAsia"/>
        </w:rPr>
        <w:t>兼职安全环保管理员进行二级教育，二级教育后送审至受教育人工作岗位所在处的</w:t>
      </w:r>
      <w:proofErr w:type="gramStart"/>
      <w:r w:rsidR="007A2AB6" w:rsidRPr="00386B6A">
        <w:rPr>
          <w:rFonts w:hint="eastAsia"/>
        </w:rPr>
        <w:t>运行</w:t>
      </w:r>
      <w:proofErr w:type="gramEnd"/>
      <w:r w:rsidR="007A2AB6" w:rsidRPr="00386B6A">
        <w:rPr>
          <w:rFonts w:hint="eastAsia"/>
        </w:rPr>
        <w:t>站站长或项目部项目经理（根据实际情况筛选流程：工作岗位为部门相关岗位的，流程完结；工作岗位为运行站、项目部相关岗位的，进入下一步流程）进行三级教育，三级教育完成后流程终止。</w:t>
      </w:r>
    </w:p>
    <w:p w:rsidR="007A2AB6" w:rsidRPr="00386B6A" w:rsidRDefault="007A2AB6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8.2</w:t>
      </w:r>
      <w:r w:rsidR="00D82F81" w:rsidRPr="00386B6A">
        <w:rPr>
          <w:rFonts w:hint="eastAsia"/>
        </w:rPr>
        <w:t>增加个人教育汇总情况表，将个人三级教育培训情况、专项培训情况（对应的</w:t>
      </w:r>
      <w:proofErr w:type="gramStart"/>
      <w:r w:rsidR="00D82F81" w:rsidRPr="00386B6A">
        <w:rPr>
          <w:rFonts w:hint="eastAsia"/>
        </w:rPr>
        <w:t>个</w:t>
      </w:r>
      <w:proofErr w:type="gramEnd"/>
      <w:r w:rsidR="00D82F81" w:rsidRPr="00386B6A">
        <w:rPr>
          <w:rFonts w:hint="eastAsia"/>
        </w:rPr>
        <w:t>人参培情况）统计汇总，汇总表可编辑、导出。</w:t>
      </w:r>
    </w:p>
    <w:p w:rsidR="00D82F81" w:rsidRPr="00386B6A" w:rsidRDefault="00D82F8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9</w:t>
      </w:r>
      <w:r w:rsidRPr="00386B6A">
        <w:rPr>
          <w:rFonts w:hint="eastAsia"/>
        </w:rPr>
        <w:t>、</w:t>
      </w:r>
      <w:r w:rsidRPr="00386B6A">
        <w:rPr>
          <w:rFonts w:hint="eastAsia"/>
        </w:rPr>
        <w:t>HSE</w:t>
      </w:r>
      <w:r w:rsidRPr="00386B6A">
        <w:rPr>
          <w:rFonts w:hint="eastAsia"/>
        </w:rPr>
        <w:t>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环境监测委托</w:t>
      </w:r>
    </w:p>
    <w:p w:rsidR="00D82F81" w:rsidRPr="00386B6A" w:rsidRDefault="00D82F8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9.1</w:t>
      </w:r>
      <w:r w:rsidRPr="00386B6A">
        <w:rPr>
          <w:rFonts w:hint="eastAsia"/>
        </w:rPr>
        <w:t>委托单要素（委托部门、委托项目、委托日期等）未填写完成不能保存提交</w:t>
      </w:r>
      <w:r w:rsidR="00B80F25" w:rsidRPr="00386B6A">
        <w:rPr>
          <w:rFonts w:hint="eastAsia"/>
        </w:rPr>
        <w:t>。</w:t>
      </w:r>
    </w:p>
    <w:p w:rsidR="00D82F81" w:rsidRPr="00386B6A" w:rsidRDefault="00D82F8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9.2</w:t>
      </w:r>
      <w:r w:rsidRPr="00386B6A">
        <w:rPr>
          <w:rFonts w:hint="eastAsia"/>
        </w:rPr>
        <w:t>委托申请单（</w:t>
      </w:r>
      <w:proofErr w:type="gramStart"/>
      <w:r w:rsidRPr="00386B6A">
        <w:rPr>
          <w:rFonts w:hint="eastAsia"/>
        </w:rPr>
        <w:t>运行站常规</w:t>
      </w:r>
      <w:proofErr w:type="gramEnd"/>
      <w:r w:rsidRPr="00386B6A">
        <w:rPr>
          <w:rFonts w:hint="eastAsia"/>
        </w:rPr>
        <w:t>监测）、委托申请单（其他部门临时监测）分别增设统计汇总表，可导出</w:t>
      </w:r>
      <w:r w:rsidR="00B80F25" w:rsidRPr="00386B6A">
        <w:rPr>
          <w:rFonts w:hint="eastAsia"/>
        </w:rPr>
        <w:t>。</w:t>
      </w:r>
    </w:p>
    <w:p w:rsidR="00D82F81" w:rsidRPr="00386B6A" w:rsidRDefault="00D82F81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10</w:t>
      </w:r>
      <w:r w:rsidRPr="00386B6A">
        <w:rPr>
          <w:rFonts w:hint="eastAsia"/>
        </w:rPr>
        <w:t>、增加监测仪器管理档案</w:t>
      </w:r>
      <w:r w:rsidR="00B80F25" w:rsidRPr="00386B6A">
        <w:rPr>
          <w:rFonts w:hint="eastAsia"/>
        </w:rPr>
        <w:t>，表格内容包括器具名称、规格型号、出厂编号、制造单位、检验编号、检定结论、检定日期、有效日期（下次检定日期）等，并设置到期提醒。</w:t>
      </w:r>
    </w:p>
    <w:p w:rsidR="00B80F25" w:rsidRPr="00386B6A" w:rsidRDefault="00B80F25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11</w:t>
      </w:r>
      <w:r w:rsidRPr="00386B6A">
        <w:rPr>
          <w:rFonts w:hint="eastAsia"/>
        </w:rPr>
        <w:t>、职业健康体检</w:t>
      </w:r>
    </w:p>
    <w:p w:rsidR="00B80F25" w:rsidRPr="00386B6A" w:rsidRDefault="00B80F25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体检明细表设置为可导入、导出，可筛选查看。</w:t>
      </w:r>
    </w:p>
    <w:p w:rsidR="00435FDD" w:rsidRPr="00386B6A" w:rsidRDefault="00435FDD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lastRenderedPageBreak/>
        <w:t>12</w:t>
      </w:r>
      <w:r w:rsidRPr="00386B6A">
        <w:rPr>
          <w:rFonts w:hint="eastAsia"/>
        </w:rPr>
        <w:t>、</w:t>
      </w:r>
      <w:r w:rsidRPr="00386B6A">
        <w:rPr>
          <w:rFonts w:hint="eastAsia"/>
        </w:rPr>
        <w:t>HES</w:t>
      </w:r>
      <w:r w:rsidRPr="00386B6A">
        <w:rPr>
          <w:rFonts w:hint="eastAsia"/>
        </w:rPr>
        <w:t>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危害识别与控制</w:t>
      </w:r>
      <w:r w:rsidRPr="00386B6A">
        <w:rPr>
          <w:rFonts w:hint="eastAsia"/>
        </w:rPr>
        <w:t>-</w:t>
      </w:r>
      <w:r w:rsidRPr="00386B6A">
        <w:rPr>
          <w:rFonts w:hint="eastAsia"/>
        </w:rPr>
        <w:t>重要环境因素清单，增加上传、编辑功能。</w:t>
      </w:r>
    </w:p>
    <w:p w:rsidR="00435FDD" w:rsidRPr="00386B6A" w:rsidRDefault="00435FDD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13</w:t>
      </w:r>
      <w:r w:rsidRPr="00386B6A">
        <w:rPr>
          <w:rFonts w:hint="eastAsia"/>
        </w:rPr>
        <w:t>、</w:t>
      </w:r>
      <w:r w:rsidRPr="00386B6A">
        <w:rPr>
          <w:rFonts w:hint="eastAsia"/>
        </w:rPr>
        <w:t>HES</w:t>
      </w:r>
      <w:r w:rsidRPr="00386B6A">
        <w:rPr>
          <w:rFonts w:hint="eastAsia"/>
        </w:rPr>
        <w:t>报告</w:t>
      </w:r>
      <w:r w:rsidRPr="00386B6A">
        <w:rPr>
          <w:rFonts w:hint="eastAsia"/>
        </w:rPr>
        <w:t>-</w:t>
      </w:r>
      <w:r w:rsidRPr="00386B6A">
        <w:rPr>
          <w:rFonts w:hint="eastAsia"/>
        </w:rPr>
        <w:t>周报预览，导出后时间格式有误，去掉多余的“</w:t>
      </w:r>
      <w:r w:rsidRPr="00386B6A">
        <w:rPr>
          <w:rFonts w:hint="eastAsia"/>
        </w:rPr>
        <w:t>0</w:t>
      </w:r>
      <w:r w:rsidRPr="00386B6A">
        <w:rPr>
          <w:rFonts w:hint="eastAsia"/>
        </w:rPr>
        <w:t>”串字符显示。</w:t>
      </w:r>
    </w:p>
    <w:p w:rsidR="00B80F25" w:rsidRPr="00386B6A" w:rsidRDefault="00B80F25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</w:t>
      </w:r>
      <w:r w:rsidR="00435FDD" w:rsidRPr="00386B6A">
        <w:rPr>
          <w:rFonts w:hint="eastAsia"/>
        </w:rPr>
        <w:t>4</w:t>
      </w:r>
      <w:r w:rsidRPr="00386B6A">
        <w:rPr>
          <w:rFonts w:hint="eastAsia"/>
        </w:rPr>
        <w:t>、其他</w:t>
      </w:r>
    </w:p>
    <w:p w:rsidR="00B80F25" w:rsidRPr="00386B6A" w:rsidRDefault="00B80F25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</w:t>
      </w:r>
      <w:r w:rsidR="00435FDD" w:rsidRPr="00386B6A">
        <w:rPr>
          <w:rFonts w:hint="eastAsia"/>
        </w:rPr>
        <w:t>4</w:t>
      </w:r>
      <w:r w:rsidRPr="00386B6A">
        <w:rPr>
          <w:rFonts w:hint="eastAsia"/>
        </w:rPr>
        <w:t>.1</w:t>
      </w:r>
      <w:r w:rsidRPr="00386B6A">
        <w:rPr>
          <w:rFonts w:hint="eastAsia"/>
        </w:rPr>
        <w:t>专项培训录入、查看权限开放，可将每次培训情况录入系统存档；</w:t>
      </w:r>
    </w:p>
    <w:p w:rsidR="00B80F25" w:rsidRPr="00386B6A" w:rsidRDefault="00B80F25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>1</w:t>
      </w:r>
      <w:r w:rsidR="00435FDD" w:rsidRPr="00386B6A">
        <w:rPr>
          <w:rFonts w:hint="eastAsia"/>
        </w:rPr>
        <w:t>4</w:t>
      </w:r>
      <w:r w:rsidRPr="00386B6A">
        <w:rPr>
          <w:rFonts w:hint="eastAsia"/>
        </w:rPr>
        <w:t>.2</w:t>
      </w:r>
      <w:r w:rsidRPr="00386B6A">
        <w:rPr>
          <w:rFonts w:hint="eastAsia"/>
        </w:rPr>
        <w:t>安全会议录入、查看权限开放</w:t>
      </w:r>
      <w:r w:rsidR="002F6A0E" w:rsidRPr="00386B6A">
        <w:rPr>
          <w:rFonts w:hint="eastAsia"/>
        </w:rPr>
        <w:t>，可将每次重要安全环保会议录入系统。</w:t>
      </w:r>
    </w:p>
    <w:p w:rsidR="00435FDD" w:rsidRPr="00386B6A" w:rsidRDefault="00435FDD" w:rsidP="00386B6A">
      <w:pPr>
        <w:pStyle w:val="a7"/>
        <w:widowControl w:val="0"/>
        <w:adjustRightInd/>
        <w:snapToGrid/>
        <w:ind w:firstLineChars="0" w:firstLine="0"/>
      </w:pPr>
      <w:r w:rsidRPr="00386B6A">
        <w:rPr>
          <w:rFonts w:hint="eastAsia"/>
        </w:rPr>
        <w:t xml:space="preserve">14.3 </w:t>
      </w:r>
      <w:r w:rsidRPr="00386B6A">
        <w:rPr>
          <w:rFonts w:hint="eastAsia"/>
        </w:rPr>
        <w:t>运行管理模块</w:t>
      </w:r>
      <w:r w:rsidRPr="00386B6A">
        <w:rPr>
          <w:rFonts w:hint="eastAsia"/>
        </w:rPr>
        <w:t>-</w:t>
      </w:r>
      <w:r w:rsidRPr="00386B6A">
        <w:rPr>
          <w:rFonts w:hint="eastAsia"/>
        </w:rPr>
        <w:t>设备检修管理</w:t>
      </w:r>
      <w:r w:rsidRPr="00386B6A">
        <w:rPr>
          <w:rFonts w:hint="eastAsia"/>
        </w:rPr>
        <w:t>-</w:t>
      </w:r>
      <w:r w:rsidRPr="00386B6A">
        <w:rPr>
          <w:rFonts w:hint="eastAsia"/>
        </w:rPr>
        <w:t>特种设备档案，增加汇总表格，可编辑导出。</w:t>
      </w:r>
    </w:p>
    <w:p w:rsidR="00465216" w:rsidRDefault="00465216" w:rsidP="00D31D50">
      <w:pPr>
        <w:spacing w:line="220" w:lineRule="atLeast"/>
        <w:rPr>
          <w:sz w:val="32"/>
          <w:szCs w:val="32"/>
        </w:rPr>
      </w:pPr>
    </w:p>
    <w:p w:rsidR="00465216" w:rsidRDefault="00465216" w:rsidP="00D31D50">
      <w:pPr>
        <w:spacing w:line="220" w:lineRule="atLeast"/>
        <w:rPr>
          <w:sz w:val="32"/>
          <w:szCs w:val="32"/>
        </w:rPr>
      </w:pPr>
    </w:p>
    <w:sectPr w:rsidR="004652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2F3" w:rsidRDefault="00B822F3" w:rsidP="00505BCC">
      <w:pPr>
        <w:spacing w:after="0"/>
      </w:pPr>
      <w:r>
        <w:separator/>
      </w:r>
    </w:p>
  </w:endnote>
  <w:endnote w:type="continuationSeparator" w:id="0">
    <w:p w:rsidR="00B822F3" w:rsidRDefault="00B822F3" w:rsidP="00505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2F3" w:rsidRDefault="00B822F3" w:rsidP="00505BCC">
      <w:pPr>
        <w:spacing w:after="0"/>
      </w:pPr>
      <w:r>
        <w:separator/>
      </w:r>
    </w:p>
  </w:footnote>
  <w:footnote w:type="continuationSeparator" w:id="0">
    <w:p w:rsidR="00B822F3" w:rsidRDefault="00B822F3" w:rsidP="00505B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6CBE"/>
    <w:multiLevelType w:val="hybridMultilevel"/>
    <w:tmpl w:val="67AED36C"/>
    <w:lvl w:ilvl="0" w:tplc="75D861AC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C31DC"/>
    <w:multiLevelType w:val="hybridMultilevel"/>
    <w:tmpl w:val="F0C0783E"/>
    <w:lvl w:ilvl="0" w:tplc="F91662B4">
      <w:start w:val="1"/>
      <w:numFmt w:val="decimal"/>
      <w:lvlText w:val="%1、"/>
      <w:lvlJc w:val="left"/>
      <w:pPr>
        <w:ind w:left="885" w:hanging="495"/>
      </w:pPr>
      <w:rPr>
        <w:rFonts w:ascii="Tahoma" w:eastAsia="微软雅黑" w:hAnsi="Tahoma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7DEA"/>
    <w:rsid w:val="00067493"/>
    <w:rsid w:val="00072E68"/>
    <w:rsid w:val="001177EF"/>
    <w:rsid w:val="00160B32"/>
    <w:rsid w:val="00173ABB"/>
    <w:rsid w:val="001A2FE6"/>
    <w:rsid w:val="001A375B"/>
    <w:rsid w:val="001D74DA"/>
    <w:rsid w:val="00265E41"/>
    <w:rsid w:val="00266A59"/>
    <w:rsid w:val="00274E2C"/>
    <w:rsid w:val="002C24FC"/>
    <w:rsid w:val="002D02C5"/>
    <w:rsid w:val="002F6A0E"/>
    <w:rsid w:val="00323B43"/>
    <w:rsid w:val="00386B6A"/>
    <w:rsid w:val="003A5660"/>
    <w:rsid w:val="003A7C86"/>
    <w:rsid w:val="003C56AE"/>
    <w:rsid w:val="003D37D8"/>
    <w:rsid w:val="003F72BC"/>
    <w:rsid w:val="00426133"/>
    <w:rsid w:val="004358AB"/>
    <w:rsid w:val="00435FDD"/>
    <w:rsid w:val="00446673"/>
    <w:rsid w:val="00450C8A"/>
    <w:rsid w:val="00465216"/>
    <w:rsid w:val="005007C6"/>
    <w:rsid w:val="00505BCC"/>
    <w:rsid w:val="00550AA5"/>
    <w:rsid w:val="00560218"/>
    <w:rsid w:val="006034D0"/>
    <w:rsid w:val="006073E5"/>
    <w:rsid w:val="00620150"/>
    <w:rsid w:val="00652F7D"/>
    <w:rsid w:val="00670B70"/>
    <w:rsid w:val="00731825"/>
    <w:rsid w:val="007A2AB6"/>
    <w:rsid w:val="007A396C"/>
    <w:rsid w:val="007D09AE"/>
    <w:rsid w:val="007E6C23"/>
    <w:rsid w:val="008B7726"/>
    <w:rsid w:val="008F1C57"/>
    <w:rsid w:val="008F3A05"/>
    <w:rsid w:val="00B4391C"/>
    <w:rsid w:val="00B70E19"/>
    <w:rsid w:val="00B71941"/>
    <w:rsid w:val="00B80F25"/>
    <w:rsid w:val="00B822F3"/>
    <w:rsid w:val="00C30928"/>
    <w:rsid w:val="00C61CDF"/>
    <w:rsid w:val="00D31D50"/>
    <w:rsid w:val="00D53BB3"/>
    <w:rsid w:val="00D82F81"/>
    <w:rsid w:val="00DF1B66"/>
    <w:rsid w:val="00DF5DFB"/>
    <w:rsid w:val="00E472ED"/>
    <w:rsid w:val="00ED61A1"/>
    <w:rsid w:val="00F2458A"/>
    <w:rsid w:val="00F46878"/>
    <w:rsid w:val="00F60912"/>
    <w:rsid w:val="00F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B1C7"/>
  <w15:docId w15:val="{2AD5CFAA-1A9F-47A8-8C6A-15F4ACAF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5B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5BCC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5B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5BCC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05B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F1C57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1C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C6AB1B-75C9-460C-BD8D-F81D75C9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金晓勇</cp:lastModifiedBy>
  <cp:revision>30</cp:revision>
  <dcterms:created xsi:type="dcterms:W3CDTF">2019-04-16T01:47:00Z</dcterms:created>
  <dcterms:modified xsi:type="dcterms:W3CDTF">2019-04-24T05:37:00Z</dcterms:modified>
</cp:coreProperties>
</file>