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jc w:val="center"/>
        <w:rPr>
          <w:rFonts w:ascii="Times" w:cs="Times" w:eastAsia="Times" w:hAnsi="Times"/>
          <w:b w:val="1"/>
          <w:color w:val="1f2328"/>
          <w:sz w:val="46"/>
          <w:szCs w:val="46"/>
        </w:rPr>
      </w:pPr>
      <w:bookmarkStart w:colFirst="0" w:colLast="0" w:name="_9ofmcn2h7yac" w:id="0"/>
      <w:bookmarkEnd w:id="0"/>
      <w:r w:rsidDel="00000000" w:rsidR="00000000" w:rsidRPr="00000000">
        <w:rPr>
          <w:rFonts w:ascii="Times" w:cs="Times" w:eastAsia="Times" w:hAnsi="Times"/>
          <w:b w:val="1"/>
          <w:color w:val="1f2328"/>
          <w:sz w:val="46"/>
          <w:szCs w:val="46"/>
          <w:rtl w:val="0"/>
        </w:rPr>
        <w:t xml:space="preserve">Credit Card Behaviour Score Prediction</w:t>
        <w:br w:type="textWrapping"/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This project focused on developing a binary classification model to predict whether a credit card customer would default in the next month. The purpose is to help banks proactively manage credit risk, reduce exposure, and improve early warning systems</w:t>
      </w:r>
      <w:r w:rsidDel="00000000" w:rsidR="00000000" w:rsidRPr="00000000">
        <w:rPr>
          <w:color w:val="1f2328"/>
          <w:sz w:val="24"/>
          <w:szCs w:val="24"/>
          <w:highlight w:val="white"/>
          <w:rtl w:val="0"/>
        </w:rPr>
        <w:t xml:space="preserve">.</w:t>
        <w:br w:type="textWrapping"/>
        <w:br w:type="textWrapping"/>
        <w:br w:type="textWrapping"/>
      </w:r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Exploratory Data Analysis (EDA) &amp; Financial Insights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b w:val="1"/>
          <w:color w:val="1f2328"/>
          <w:sz w:val="35"/>
          <w:szCs w:val="35"/>
          <w:highlight w:val="white"/>
        </w:rPr>
      </w:pPr>
      <w:bookmarkStart w:colFirst="0" w:colLast="0" w:name="_n8b0f8twfs0c" w:id="2"/>
      <w:bookmarkEnd w:id="2"/>
      <w:r w:rsidDel="00000000" w:rsidR="00000000" w:rsidRPr="00000000">
        <w:rPr>
          <w:rFonts w:ascii="Times" w:cs="Times" w:eastAsia="Times" w:hAnsi="Times"/>
          <w:b w:val="1"/>
          <w:color w:val="1f2328"/>
          <w:sz w:val="35"/>
          <w:szCs w:val="35"/>
          <w:highlight w:val="white"/>
          <w:rtl w:val="0"/>
        </w:rPr>
        <w:t xml:space="preserve"> Key Variables &amp; Patterns: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Target Imbalance: Only ~22% of customers are defaulters, indicating strong class imbalance that must be handled carefully.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Payment History: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PAY_0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to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PAY_6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reveal that customers who default tend to have more payment delays and higher delinquency levels.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Utilization Ratio: Strongly correlated with default risk; serves as a proxy for financial stress.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Repayment Trends: KDE plots of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avg_pay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show clear separation between defaulters and non-defaulters.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numPr>
          <w:ilvl w:val="0"/>
          <w:numId w:val="1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Categorical Analysis: Singles show slightly higher default risk; education and gender are weak predictors.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b w:val="1"/>
          <w:color w:val="1f2328"/>
          <w:sz w:val="35"/>
          <w:szCs w:val="35"/>
          <w:highlight w:val="white"/>
        </w:rPr>
      </w:pPr>
      <w:bookmarkStart w:colFirst="0" w:colLast="0" w:name="_yhosidle136m" w:id="3"/>
      <w:bookmarkEnd w:id="3"/>
      <w:r w:rsidDel="00000000" w:rsidR="00000000" w:rsidRPr="00000000">
        <w:rPr>
          <w:rFonts w:ascii="Times" w:cs="Times" w:eastAsia="Times" w:hAnsi="Times"/>
          <w:b w:val="1"/>
          <w:color w:val="1f2328"/>
          <w:sz w:val="35"/>
          <w:szCs w:val="35"/>
          <w:highlight w:val="white"/>
          <w:rtl w:val="0"/>
        </w:rPr>
        <w:t xml:space="preserve"> Visualizations: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Count plots of default status, marital status, gender, education.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Correlation heatmap and scatter plots (e.g.,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avg_bill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vs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avg_pay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Box plots of financial variables by default status.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Time series bar plots of average payment delay.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numPr>
          <w:ilvl w:val="0"/>
          <w:numId w:val="2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KDE and histograms of financial features.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59636e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59636e"/>
          <w:sz w:val="24"/>
          <w:szCs w:val="24"/>
          <w:highlight w:val="white"/>
          <w:rtl w:val="0"/>
        </w:rPr>
        <w:t xml:space="preserve">The EDA uncovered real behavioral patterns and financial stress signals, not just statistical trends.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ltsj75o1pzle" w:id="4"/>
      <w:bookmarkEnd w:id="4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Feature Engineering: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yt80rmow3lhf" w:id="5"/>
      <w:bookmarkEnd w:id="5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To make the model financially interpretable and predictive, I created: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avg_bill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avg_pay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: 6-month average billing and repayment values.</w:t>
      </w:r>
    </w:p>
    <w:p w:rsidR="00000000" w:rsidDel="00000000" w:rsidP="00000000" w:rsidRDefault="00000000" w:rsidRPr="00000000" w14:paraId="00000014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utilization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: average bill / credit limit.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pay_to_bill_ratio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: repayment to bill ratio over 6 months.</w:t>
      </w:r>
    </w:p>
    <w:p w:rsidR="00000000" w:rsidDel="00000000" w:rsidP="00000000" w:rsidRDefault="00000000" w:rsidRPr="00000000" w14:paraId="00000016">
      <w:pPr>
        <w:pStyle w:val="Heading1"/>
        <w:keepNext w:val="0"/>
        <w:keepLines w:val="0"/>
        <w:numPr>
          <w:ilvl w:val="0"/>
          <w:numId w:val="5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num_delinquent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color w:val="1f2328"/>
          <w:sz w:val="20"/>
          <w:szCs w:val="20"/>
          <w:highlight w:val="white"/>
          <w:rtl w:val="0"/>
        </w:rPr>
        <w:t xml:space="preserve">max_delinquency</w:t>
      </w:r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: counts of overdue payments and worst delay.</w:t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59636e"/>
          <w:sz w:val="24"/>
          <w:szCs w:val="24"/>
          <w:highlight w:val="white"/>
          <w:rtl w:val="0"/>
        </w:rPr>
        <w:t xml:space="preserve">These features simulate real-world credit scoring logic used in underwriting and monitoring.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zf6igbm3m54h" w:id="6"/>
      <w:bookmarkEnd w:id="6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Class Imbalance Handling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To address default class underrepresentation:</w:t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Applied SMOTE (Synthetic Minority Oversampling Technique) after standard scaling.</w:t>
      </w:r>
    </w:p>
    <w:p w:rsidR="00000000" w:rsidDel="00000000" w:rsidP="00000000" w:rsidRDefault="00000000" w:rsidRPr="00000000" w14:paraId="0000001B">
      <w:pPr>
        <w:pStyle w:val="Heading1"/>
        <w:keepNext w:val="0"/>
        <w:keepLines w:val="0"/>
        <w:numPr>
          <w:ilvl w:val="0"/>
          <w:numId w:val="3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Balanced the dataset while preserving minority class characteristics.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g1ywxiakr2s2" w:id="7"/>
      <w:bookmarkEnd w:id="7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</w:t>
        <w:br w:type="textWrapping"/>
        <w:br w:type="textWrapping"/>
        <w:br w:type="textWrapping"/>
        <w:br w:type="textWrapping"/>
        <w:t xml:space="preserve">Model Development &amp; Performance</w:t>
      </w:r>
    </w:p>
    <w:p w:rsidR="00000000" w:rsidDel="00000000" w:rsidP="00000000" w:rsidRDefault="00000000" w:rsidRPr="00000000" w14:paraId="0000001D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I evaluated multiple models:</w:t>
      </w:r>
    </w:p>
    <w:p w:rsidR="00000000" w:rsidDel="00000000" w:rsidP="00000000" w:rsidRDefault="00000000" w:rsidRPr="00000000" w14:paraId="0000001E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Logistic Regression (baseline, interpretable)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hd w:fill="ffffff" w:val="clear"/>
        <w:spacing w:after="0" w:afterAutospacing="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Random Forest (robust ensemble)</w:t>
      </w:r>
    </w:p>
    <w:p w:rsidR="00000000" w:rsidDel="00000000" w:rsidP="00000000" w:rsidRDefault="00000000" w:rsidRPr="00000000" w14:paraId="00000020">
      <w:pPr>
        <w:pStyle w:val="Heading1"/>
        <w:keepNext w:val="0"/>
        <w:keepLines w:val="0"/>
        <w:numPr>
          <w:ilvl w:val="0"/>
          <w:numId w:val="7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 XGBoost (high-performing gradient boosting)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b w:val="1"/>
          <w:color w:val="1f2328"/>
          <w:sz w:val="35"/>
          <w:szCs w:val="35"/>
          <w:highlight w:val="white"/>
        </w:rPr>
      </w:pPr>
      <w:bookmarkStart w:colFirst="0" w:colLast="0" w:name="_9ip657w9d4ns" w:id="8"/>
      <w:bookmarkEnd w:id="8"/>
      <w:r w:rsidDel="00000000" w:rsidR="00000000" w:rsidRPr="00000000">
        <w:rPr>
          <w:rFonts w:ascii="Times" w:cs="Times" w:eastAsia="Times" w:hAnsi="Times"/>
          <w:b w:val="1"/>
          <w:color w:val="1f2328"/>
          <w:sz w:val="35"/>
          <w:szCs w:val="35"/>
          <w:highlight w:val="white"/>
          <w:rtl w:val="0"/>
        </w:rPr>
        <w:t xml:space="preserve"> Evaluation Metrics:</w:t>
      </w:r>
    </w:p>
    <w:p w:rsidR="00000000" w:rsidDel="00000000" w:rsidP="00000000" w:rsidRDefault="00000000" w:rsidRPr="00000000" w14:paraId="00000022">
      <w:pPr>
        <w:pStyle w:val="Heading1"/>
        <w:keepNext w:val="0"/>
        <w:keepLines w:val="0"/>
        <w:numPr>
          <w:ilvl w:val="0"/>
          <w:numId w:val="4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ROC AUC: Separability of classes; good for imbalanced data.</w:t>
      </w:r>
    </w:p>
    <w:p w:rsidR="00000000" w:rsidDel="00000000" w:rsidP="00000000" w:rsidRDefault="00000000" w:rsidRPr="00000000" w14:paraId="00000023">
      <w:pPr>
        <w:pStyle w:val="Heading1"/>
        <w:keepNext w:val="0"/>
        <w:keepLines w:val="0"/>
        <w:numPr>
          <w:ilvl w:val="0"/>
          <w:numId w:val="4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F2 Score: Prioritized metric — emphasizes recall over precision, which aligns with Bank A’s objective to minimize missed defaulters.</w:t>
      </w:r>
    </w:p>
    <w:p w:rsidR="00000000" w:rsidDel="00000000" w:rsidP="00000000" w:rsidRDefault="00000000" w:rsidRPr="00000000" w14:paraId="00000024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59636e"/>
          <w:sz w:val="24"/>
          <w:szCs w:val="24"/>
          <w:highlight w:val="white"/>
          <w:rtl w:val="0"/>
        </w:rPr>
        <w:t xml:space="preserve"> XGBoost delivered the best trade-off between AUC and F2.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sjocwmal01a4" w:id="9"/>
      <w:bookmarkEnd w:id="9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Threshold Tuning for Business Impact</w:t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Rather than using a default 0.5 probability threshold, I:</w:t>
      </w:r>
    </w:p>
    <w:p w:rsidR="00000000" w:rsidDel="00000000" w:rsidP="00000000" w:rsidRDefault="00000000" w:rsidRPr="00000000" w14:paraId="00000027">
      <w:pPr>
        <w:pStyle w:val="Heading1"/>
        <w:keepNext w:val="0"/>
        <w:keepLines w:val="0"/>
        <w:numPr>
          <w:ilvl w:val="0"/>
          <w:numId w:val="6"/>
        </w:numPr>
        <w:pBdr>
          <w:bottom w:color="auto" w:space="6" w:sz="0" w:val="none"/>
        </w:pBdr>
        <w:shd w:fill="ffffff" w:val="clear"/>
        <w:spacing w:after="0" w:afterAutospacing="0" w:before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Optimized the threshold to maximize F2 score, improving recall.</w:t>
      </w:r>
    </w:p>
    <w:p w:rsidR="00000000" w:rsidDel="00000000" w:rsidP="00000000" w:rsidRDefault="00000000" w:rsidRPr="00000000" w14:paraId="00000028">
      <w:pPr>
        <w:pStyle w:val="Heading1"/>
        <w:keepNext w:val="0"/>
        <w:keepLines w:val="0"/>
        <w:numPr>
          <w:ilvl w:val="0"/>
          <w:numId w:val="6"/>
        </w:numPr>
        <w:pBdr>
          <w:bottom w:color="auto" w:space="6" w:sz="0" w:val="none"/>
        </w:pBdr>
        <w:shd w:fill="ffffff" w:val="clear"/>
        <w:spacing w:after="240" w:before="0" w:beforeAutospacing="0" w:line="300" w:lineRule="auto"/>
        <w:ind w:left="720" w:hanging="360"/>
        <w:rPr>
          <w:rFonts w:ascii="Times" w:cs="Times" w:eastAsia="Times" w:hAnsi="Times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Helped the bank detect more defaulters early, with acceptable false positives.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qyk5ona3q05u" w:id="10"/>
      <w:bookmarkEnd w:id="10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Final Prediction &amp; Submission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7cbf1g4jfryl" w:id="1"/>
      <w:bookmarkEnd w:id="1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Predictions were generated on an unlabeled validation dataset using the optimized model and threshold.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300" w:lineRule="auto"/>
        <w:rPr>
          <w:rFonts w:ascii="Times" w:cs="Times" w:eastAsia="Times" w:hAnsi="Times"/>
          <w:b w:val="1"/>
          <w:color w:val="1f2328"/>
          <w:sz w:val="36"/>
          <w:szCs w:val="36"/>
          <w:highlight w:val="white"/>
        </w:rPr>
      </w:pPr>
      <w:bookmarkStart w:colFirst="0" w:colLast="0" w:name="_i4c61vwwj1hp" w:id="11"/>
      <w:bookmarkEnd w:id="11"/>
      <w:r w:rsidDel="00000000" w:rsidR="00000000" w:rsidRPr="00000000">
        <w:rPr>
          <w:rFonts w:ascii="Times" w:cs="Times" w:eastAsia="Times" w:hAnsi="Times"/>
          <w:b w:val="1"/>
          <w:color w:val="1f2328"/>
          <w:sz w:val="36"/>
          <w:szCs w:val="36"/>
          <w:highlight w:val="white"/>
          <w:rtl w:val="0"/>
        </w:rPr>
        <w:t xml:space="preserve"> </w:t>
        <w:br w:type="textWrapping"/>
        <w:br w:type="textWrapping"/>
        <w:br w:type="textWrapping"/>
        <w:br w:type="textWrapping"/>
        <w:br w:type="textWrapping"/>
        <w:t xml:space="preserve">Conclusion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0" w:before="0" w:line="300" w:lineRule="auto"/>
        <w:rPr>
          <w:rFonts w:ascii="Times" w:cs="Times" w:eastAsia="Times" w:hAnsi="Times"/>
          <w:color w:val="1f2328"/>
          <w:sz w:val="24"/>
          <w:szCs w:val="24"/>
          <w:highlight w:val="white"/>
        </w:rPr>
      </w:pPr>
      <w:bookmarkStart w:colFirst="0" w:colLast="0" w:name="_2qekld63gsgn" w:id="12"/>
      <w:bookmarkEnd w:id="12"/>
      <w:r w:rsidDel="00000000" w:rsidR="00000000" w:rsidRPr="00000000">
        <w:rPr>
          <w:rFonts w:ascii="Times" w:cs="Times" w:eastAsia="Times" w:hAnsi="Times"/>
          <w:color w:val="1f2328"/>
          <w:sz w:val="24"/>
          <w:szCs w:val="24"/>
          <w:highlight w:val="white"/>
          <w:rtl w:val="0"/>
        </w:rPr>
        <w:t xml:space="preserve">This project demonstrates how machine learning can support credit risk management with interpretable, business-aligned insights. By engineering behavior-aware features, handling imbalance, and tuning thresholds, I created a model that does more than predict, it enables actionable early warning for the Bank.</w:t>
      </w:r>
    </w:p>
    <w:p w:rsidR="00000000" w:rsidDel="00000000" w:rsidP="00000000" w:rsidRDefault="00000000" w:rsidRPr="00000000" w14:paraId="0000002D">
      <w:pPr>
        <w:pStyle w:val="Heading1"/>
        <w:keepNext w:val="0"/>
        <w:keepLines w:val="0"/>
        <w:pBdr>
          <w:bottom w:color="auto" w:space="6" w:sz="0" w:val="none"/>
        </w:pBdr>
        <w:shd w:fill="ffffff" w:val="clear"/>
        <w:spacing w:after="240" w:before="360" w:line="300" w:lineRule="auto"/>
        <w:rPr>
          <w:rFonts w:ascii="Times" w:cs="Times" w:eastAsia="Times" w:hAnsi="Times"/>
          <w:color w:val="1f2328"/>
          <w:sz w:val="24"/>
          <w:szCs w:val="24"/>
        </w:rPr>
      </w:pPr>
      <w:bookmarkStart w:colFirst="0" w:colLast="0" w:name="_ul79cjhstjhk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