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jc w:val="center"/>
        <w:rPr>
          <w:rFonts w:ascii="Times" w:cs="Times" w:eastAsia="Times" w:hAnsi="Times"/>
          <w:b w:val="1"/>
          <w:color w:val="1f2328"/>
          <w:sz w:val="46"/>
          <w:szCs w:val="46"/>
        </w:rPr>
      </w:pPr>
      <w:bookmarkStart w:colFirst="0" w:colLast="0" w:name="_9ofmcn2h7yac" w:id="0"/>
      <w:bookmarkEnd w:id="0"/>
      <w:r w:rsidDel="00000000" w:rsidR="00000000" w:rsidRPr="00000000">
        <w:rPr>
          <w:rFonts w:ascii="Times" w:cs="Times" w:eastAsia="Times" w:hAnsi="Times"/>
          <w:b w:val="1"/>
          <w:color w:val="1f2328"/>
          <w:sz w:val="46"/>
          <w:szCs w:val="46"/>
          <w:rtl w:val="0"/>
        </w:rPr>
        <w:t xml:space="preserve">Credit Card Behaviour Score Prediction</w:t>
        <w:br w:type="textWrapping"/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rFonts w:ascii="Times" w:cs="Times" w:eastAsia="Times" w:hAnsi="Times"/>
          <w:b w:val="1"/>
          <w:color w:val="1f2328"/>
          <w:sz w:val="36"/>
          <w:szCs w:val="36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goal of this project is to build a binary classification model to predict whether a credit card customer will default on their payment in the next billing cycle . This forward-looking Behaviour Score enables the Bank  to improve credit risk management by identifying potential defaulters early, supporting strategic interventions and exposure management.</w:t>
        <w:br w:type="textWrapping"/>
        <w:br w:type="textWrapping"/>
        <w:br w:type="textWrapping"/>
      </w:r>
      <w:r w:rsidDel="00000000" w:rsidR="00000000" w:rsidRPr="00000000">
        <w:rPr>
          <w:rFonts w:ascii="Times" w:cs="Times" w:eastAsia="Times" w:hAnsi="Times"/>
          <w:b w:val="1"/>
          <w:color w:val="1f2328"/>
          <w:sz w:val="36"/>
          <w:szCs w:val="36"/>
          <w:highlight w:val="white"/>
          <w:rtl w:val="0"/>
        </w:rPr>
        <w:t xml:space="preserve">Exploratory Data Analysis (EDA) &amp; Financial Insights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rFonts w:ascii="Times" w:cs="Times" w:eastAsia="Times" w:hAnsi="Times"/>
          <w:b w:val="1"/>
          <w:color w:val="1f2328"/>
          <w:sz w:val="35"/>
          <w:szCs w:val="35"/>
          <w:highlight w:val="white"/>
        </w:rPr>
      </w:pPr>
      <w:bookmarkStart w:colFirst="0" w:colLast="0" w:name="_n8b0f8twfs0c" w:id="2"/>
      <w:bookmarkEnd w:id="2"/>
      <w:r w:rsidDel="00000000" w:rsidR="00000000" w:rsidRPr="00000000">
        <w:rPr>
          <w:rFonts w:ascii="Times" w:cs="Times" w:eastAsia="Times" w:hAnsi="Times"/>
          <w:b w:val="1"/>
          <w:color w:val="1f2328"/>
          <w:sz w:val="35"/>
          <w:szCs w:val="35"/>
          <w:highlight w:val="white"/>
          <w:rtl w:val="0"/>
        </w:rPr>
        <w:t xml:space="preserve"> Key Variables &amp; Patterns: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0" w:afterAutospacing="0" w:before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Target Imbalance: Only ~22% of customers are defaulters, indicating strong class imbalance that must be handled carefully.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Payment History: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PAY_0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to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PAY_6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reveal that customers who default tend to have more payment delays and higher delinquency levels.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Box Plots: Defaulters have lower payment amounts (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Pay_amt1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to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Pay_amt6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), higher average bills, and elevated utilization ratios.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Utilization Ratio: Strongly correlated with default risk; serves as a proxy for financial stress.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Repayment Trends: KDE plots of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avg_pay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show clear separation between defaulters and non-defaulters.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24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Categorical Analysis: Singles show slightly higher default risk; education and gender are weak predictors.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rFonts w:ascii="Times" w:cs="Times" w:eastAsia="Times" w:hAnsi="Times"/>
          <w:b w:val="1"/>
          <w:color w:val="1f2328"/>
          <w:sz w:val="35"/>
          <w:szCs w:val="35"/>
          <w:highlight w:val="white"/>
        </w:rPr>
      </w:pPr>
      <w:bookmarkStart w:colFirst="0" w:colLast="0" w:name="_yhosidle136m" w:id="3"/>
      <w:bookmarkEnd w:id="3"/>
      <w:r w:rsidDel="00000000" w:rsidR="00000000" w:rsidRPr="00000000">
        <w:rPr>
          <w:rFonts w:ascii="Times" w:cs="Times" w:eastAsia="Times" w:hAnsi="Times"/>
          <w:b w:val="1"/>
          <w:color w:val="1f2328"/>
          <w:sz w:val="35"/>
          <w:szCs w:val="35"/>
          <w:highlight w:val="white"/>
          <w:rtl w:val="0"/>
        </w:rPr>
        <w:t xml:space="preserve"> Visualizations: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2"/>
        </w:numPr>
        <w:pBdr>
          <w:bottom w:color="auto" w:space="6" w:sz="0" w:val="none"/>
        </w:pBdr>
        <w:shd w:fill="ffffff" w:val="clear"/>
        <w:spacing w:after="0" w:afterAutospacing="0" w:before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Count plots of default status, marital status, gender, education.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2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Correlation heatmap and scatter plots (e.g.,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avg_bill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vs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avg_pay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2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Box plots of financial variables by default status.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numPr>
          <w:ilvl w:val="0"/>
          <w:numId w:val="2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Time series bar plots of average payment delay.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numPr>
          <w:ilvl w:val="0"/>
          <w:numId w:val="2"/>
        </w:numPr>
        <w:pBdr>
          <w:bottom w:color="auto" w:space="6" w:sz="0" w:val="none"/>
        </w:pBdr>
        <w:shd w:fill="ffffff" w:val="clear"/>
        <w:spacing w:after="24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KDE and histograms of financial features.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" w:cs="Times" w:eastAsia="Times" w:hAnsi="Times"/>
          <w:color w:val="59636e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59636e"/>
          <w:sz w:val="24"/>
          <w:szCs w:val="24"/>
          <w:highlight w:val="white"/>
          <w:rtl w:val="0"/>
        </w:rPr>
        <w:t xml:space="preserve">The EDA uncovered real behavioral patterns and financial stress signals, not just statistical trends.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" w:cs="Times" w:eastAsia="Times" w:hAnsi="Times"/>
          <w:b w:val="1"/>
          <w:color w:val="1f2328"/>
          <w:sz w:val="36"/>
          <w:szCs w:val="36"/>
          <w:highlight w:val="white"/>
        </w:rPr>
      </w:pPr>
      <w:bookmarkStart w:colFirst="0" w:colLast="0" w:name="_ltsj75o1pzle" w:id="4"/>
      <w:bookmarkEnd w:id="4"/>
      <w:r w:rsidDel="00000000" w:rsidR="00000000" w:rsidRPr="00000000">
        <w:rPr>
          <w:rFonts w:ascii="Times" w:cs="Times" w:eastAsia="Times" w:hAnsi="Times"/>
          <w:b w:val="1"/>
          <w:color w:val="1f2328"/>
          <w:sz w:val="36"/>
          <w:szCs w:val="36"/>
          <w:highlight w:val="white"/>
          <w:rtl w:val="0"/>
        </w:rPr>
        <w:t xml:space="preserve"> Feature Engineering: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yt80rmow3lhf" w:id="5"/>
      <w:bookmarkEnd w:id="5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To make the model financially interpretable and predictive, I created: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numPr>
          <w:ilvl w:val="0"/>
          <w:numId w:val="5"/>
        </w:numPr>
        <w:pBdr>
          <w:bottom w:color="auto" w:space="6" w:sz="0" w:val="none"/>
        </w:pBdr>
        <w:shd w:fill="ffffff" w:val="clear"/>
        <w:spacing w:after="0" w:afterAutospacing="0" w:before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avg_bill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avg_pay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: 6-month average billing and repayment values.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numPr>
          <w:ilvl w:val="0"/>
          <w:numId w:val="5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utilization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: average bill / credit limit.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numPr>
          <w:ilvl w:val="0"/>
          <w:numId w:val="5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pay_to_bill_ratio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: repayment to bill ratio over 6 months.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numPr>
          <w:ilvl w:val="0"/>
          <w:numId w:val="5"/>
        </w:numPr>
        <w:pBdr>
          <w:bottom w:color="auto" w:space="6" w:sz="0" w:val="none"/>
        </w:pBdr>
        <w:shd w:fill="ffffff" w:val="clear"/>
        <w:spacing w:after="240" w:before="0" w:beforeAutospacing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num_delinquent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max_delinquency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: counts of overdue payments and worst delay.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59636e"/>
          <w:sz w:val="24"/>
          <w:szCs w:val="24"/>
          <w:highlight w:val="white"/>
          <w:rtl w:val="0"/>
        </w:rPr>
        <w:t xml:space="preserve">These features simulate real-world credit scoring logic used in underwriting and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" w:cs="Times" w:eastAsia="Times" w:hAnsi="Times"/>
          <w:b w:val="1"/>
          <w:color w:val="1f2328"/>
          <w:sz w:val="36"/>
          <w:szCs w:val="36"/>
          <w:highlight w:val="white"/>
        </w:rPr>
      </w:pPr>
      <w:bookmarkStart w:colFirst="0" w:colLast="0" w:name="_zf6igbm3m54h" w:id="6"/>
      <w:bookmarkEnd w:id="6"/>
      <w:r w:rsidDel="00000000" w:rsidR="00000000" w:rsidRPr="00000000">
        <w:rPr>
          <w:rFonts w:ascii="Times" w:cs="Times" w:eastAsia="Times" w:hAnsi="Times"/>
          <w:b w:val="1"/>
          <w:color w:val="1f2328"/>
          <w:sz w:val="36"/>
          <w:szCs w:val="36"/>
          <w:highlight w:val="white"/>
          <w:rtl w:val="0"/>
        </w:rPr>
        <w:t xml:space="preserve"> Class Imbalance Handling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To address default class underrepresentation: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hd w:fill="ffffff" w:val="clear"/>
        <w:spacing w:after="0" w:afterAutospacing="0" w:before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Applied SMOTE (Synthetic Minority Oversampling Technique) after standard scaling.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hd w:fill="ffffff" w:val="clear"/>
        <w:spacing w:after="24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Balanced the dataset while preserving minority class characteristics.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" w:cs="Times" w:eastAsia="Times" w:hAnsi="Times"/>
          <w:b w:val="1"/>
          <w:color w:val="1f2328"/>
          <w:sz w:val="36"/>
          <w:szCs w:val="36"/>
          <w:highlight w:val="white"/>
        </w:rPr>
      </w:pPr>
      <w:bookmarkStart w:colFirst="0" w:colLast="0" w:name="_g1ywxiakr2s2" w:id="7"/>
      <w:bookmarkEnd w:id="7"/>
      <w:r w:rsidDel="00000000" w:rsidR="00000000" w:rsidRPr="00000000">
        <w:rPr>
          <w:rFonts w:ascii="Times" w:cs="Times" w:eastAsia="Times" w:hAnsi="Times"/>
          <w:b w:val="1"/>
          <w:color w:val="1f2328"/>
          <w:sz w:val="36"/>
          <w:szCs w:val="36"/>
          <w:highlight w:val="white"/>
          <w:rtl w:val="0"/>
        </w:rPr>
        <w:t xml:space="preserve"> </w:t>
        <w:br w:type="textWrapping"/>
        <w:br w:type="textWrapping"/>
        <w:br w:type="textWrapping"/>
        <w:br w:type="textWrapping"/>
        <w:t xml:space="preserve">Model Development &amp; Performance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I evaluated multiple models: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numPr>
          <w:ilvl w:val="0"/>
          <w:numId w:val="7"/>
        </w:numPr>
        <w:pBdr>
          <w:bottom w:color="auto" w:space="6" w:sz="0" w:val="none"/>
        </w:pBdr>
        <w:shd w:fill="ffffff" w:val="clear"/>
        <w:spacing w:after="0" w:afterAutospacing="0" w:before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Logistic Regression (baseline, interpretable)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numPr>
          <w:ilvl w:val="0"/>
          <w:numId w:val="7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Random Forest (robust ensemble)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numPr>
          <w:ilvl w:val="0"/>
          <w:numId w:val="7"/>
        </w:numPr>
        <w:pBdr>
          <w:bottom w:color="auto" w:space="6" w:sz="0" w:val="none"/>
        </w:pBdr>
        <w:shd w:fill="ffffff" w:val="clear"/>
        <w:spacing w:after="24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XGBoost (high-performing gradient boosting)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rFonts w:ascii="Times" w:cs="Times" w:eastAsia="Times" w:hAnsi="Times"/>
          <w:b w:val="1"/>
          <w:color w:val="1f2328"/>
          <w:sz w:val="35"/>
          <w:szCs w:val="35"/>
          <w:highlight w:val="white"/>
        </w:rPr>
      </w:pPr>
      <w:bookmarkStart w:colFirst="0" w:colLast="0" w:name="_9ip657w9d4ns" w:id="8"/>
      <w:bookmarkEnd w:id="8"/>
      <w:r w:rsidDel="00000000" w:rsidR="00000000" w:rsidRPr="00000000">
        <w:rPr>
          <w:rFonts w:ascii="Times" w:cs="Times" w:eastAsia="Times" w:hAnsi="Times"/>
          <w:b w:val="1"/>
          <w:color w:val="1f2328"/>
          <w:sz w:val="35"/>
          <w:szCs w:val="35"/>
          <w:highlight w:val="white"/>
          <w:rtl w:val="0"/>
        </w:rPr>
        <w:t xml:space="preserve"> Evaluation Metrics: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numPr>
          <w:ilvl w:val="0"/>
          <w:numId w:val="4"/>
        </w:numPr>
        <w:pBdr>
          <w:bottom w:color="auto" w:space="6" w:sz="0" w:val="none"/>
        </w:pBdr>
        <w:shd w:fill="ffffff" w:val="clear"/>
        <w:spacing w:after="0" w:afterAutospacing="0" w:before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ROC AUC: Separability of classes; good for imbalanced data.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numPr>
          <w:ilvl w:val="0"/>
          <w:numId w:val="4"/>
        </w:numPr>
        <w:pBdr>
          <w:bottom w:color="auto" w:space="6" w:sz="0" w:val="none"/>
        </w:pBdr>
        <w:shd w:fill="ffffff" w:val="clear"/>
        <w:spacing w:after="24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F2 Score: Prioritized metric — emphasizes recall over precision, which aligns with Bank A’s objective to minimize missed defaulters.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59636e"/>
          <w:sz w:val="24"/>
          <w:szCs w:val="24"/>
          <w:highlight w:val="white"/>
          <w:rtl w:val="0"/>
        </w:rPr>
        <w:t xml:space="preserve"> XGBoost delivered the best trade-off between AUC and F2.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" w:cs="Times" w:eastAsia="Times" w:hAnsi="Times"/>
          <w:b w:val="1"/>
          <w:color w:val="1f2328"/>
          <w:sz w:val="36"/>
          <w:szCs w:val="36"/>
          <w:highlight w:val="white"/>
        </w:rPr>
      </w:pPr>
      <w:bookmarkStart w:colFirst="0" w:colLast="0" w:name="_sjocwmal01a4" w:id="9"/>
      <w:bookmarkEnd w:id="9"/>
      <w:r w:rsidDel="00000000" w:rsidR="00000000" w:rsidRPr="00000000">
        <w:rPr>
          <w:rFonts w:ascii="Times" w:cs="Times" w:eastAsia="Times" w:hAnsi="Times"/>
          <w:b w:val="1"/>
          <w:color w:val="1f2328"/>
          <w:sz w:val="36"/>
          <w:szCs w:val="36"/>
          <w:highlight w:val="white"/>
          <w:rtl w:val="0"/>
        </w:rPr>
        <w:t xml:space="preserve"> Threshold Tuning for Business Impact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Rather than using a default 0.5 probability threshold, I: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numPr>
          <w:ilvl w:val="0"/>
          <w:numId w:val="6"/>
        </w:numPr>
        <w:pBdr>
          <w:bottom w:color="auto" w:space="6" w:sz="0" w:val="none"/>
        </w:pBdr>
        <w:shd w:fill="ffffff" w:val="clear"/>
        <w:spacing w:after="0" w:afterAutospacing="0" w:before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Optimized the threshold to maximize F2 score, improving recall.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numPr>
          <w:ilvl w:val="0"/>
          <w:numId w:val="6"/>
        </w:numPr>
        <w:pBdr>
          <w:bottom w:color="auto" w:space="6" w:sz="0" w:val="none"/>
        </w:pBdr>
        <w:shd w:fill="ffffff" w:val="clear"/>
        <w:spacing w:after="24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Helped the bank detect more defaulters early, with acceptable false positives.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" w:cs="Times" w:eastAsia="Times" w:hAnsi="Times"/>
          <w:b w:val="1"/>
          <w:color w:val="1f2328"/>
          <w:sz w:val="36"/>
          <w:szCs w:val="36"/>
          <w:highlight w:val="white"/>
        </w:rPr>
      </w:pPr>
      <w:bookmarkStart w:colFirst="0" w:colLast="0" w:name="_qyk5ona3q05u" w:id="10"/>
      <w:bookmarkEnd w:id="10"/>
      <w:r w:rsidDel="00000000" w:rsidR="00000000" w:rsidRPr="00000000">
        <w:rPr>
          <w:rFonts w:ascii="Times" w:cs="Times" w:eastAsia="Times" w:hAnsi="Times"/>
          <w:b w:val="1"/>
          <w:color w:val="1f2328"/>
          <w:sz w:val="36"/>
          <w:szCs w:val="36"/>
          <w:highlight w:val="white"/>
          <w:rtl w:val="0"/>
        </w:rPr>
        <w:t xml:space="preserve"> Final Prediction &amp; Submission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Predictions were generated on an unlabeled validation dataset using the optimized model and threshold.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" w:cs="Times" w:eastAsia="Times" w:hAnsi="Times"/>
          <w:b w:val="1"/>
          <w:color w:val="1f2328"/>
          <w:sz w:val="36"/>
          <w:szCs w:val="36"/>
          <w:highlight w:val="white"/>
        </w:rPr>
      </w:pPr>
      <w:bookmarkStart w:colFirst="0" w:colLast="0" w:name="_i4c61vwwj1hp" w:id="11"/>
      <w:bookmarkEnd w:id="11"/>
      <w:r w:rsidDel="00000000" w:rsidR="00000000" w:rsidRPr="00000000">
        <w:rPr>
          <w:rFonts w:ascii="Times" w:cs="Times" w:eastAsia="Times" w:hAnsi="Times"/>
          <w:b w:val="1"/>
          <w:color w:val="1f2328"/>
          <w:sz w:val="36"/>
          <w:szCs w:val="36"/>
          <w:highlight w:val="white"/>
          <w:rtl w:val="0"/>
        </w:rPr>
        <w:t xml:space="preserve"> </w:t>
        <w:br w:type="textWrapping"/>
        <w:br w:type="textWrapping"/>
        <w:t xml:space="preserve">Conclusion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0" w:before="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2qekld63gsgn" w:id="12"/>
      <w:bookmarkEnd w:id="12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This project demonstrates how machine learning can support credit risk management with interpretable, business-aligned insights. By engineering behavior-aware features, handling imbalance, and tuning thresholds, I created a model that does more than predict, it enables actionable early warning for Bank.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rFonts w:ascii="Times" w:cs="Times" w:eastAsia="Times" w:hAnsi="Times"/>
          <w:color w:val="1f2328"/>
          <w:sz w:val="24"/>
          <w:szCs w:val="24"/>
        </w:rPr>
      </w:pPr>
      <w:bookmarkStart w:colFirst="0" w:colLast="0" w:name="_ul79cjhstjh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