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Datos personales y la LOPDP</w:t>
      </w:r>
    </w:p>
    <w:p>
      <w:pPr>
        <w:spacing w:after="400"/>
        <w:jc w:val="center"/>
      </w:pPr>
      <w:r>
        <w:rPr>
          <w:i/>
          <w:iCs/>
          <w:color w:val="555555"/>
        </w:rPr>
        <w:t xml:space="preserve">Análisis de cumplimiento — Piloto de asistente de soporte por correo, Santillana Ecuador</w:t>
      </w:r>
    </w:p>
    <w:p>
      <w:pPr>
        <w:spacing w:after="160"/>
      </w:pPr>
      <w:r>
        <w:t xml:space="preserve">Este documento analiza cómo el piloto trata datos personales a la luz de la Ley Orgánica de Protección de Datos Personales de Ecuador (LOPDP), su Reglamento y las resoluciones vigentes de la Superintendencia de Protección de Datos Personales (SPDP). Es una investigación informativa basada en fuentes públicas — no reemplaza la revisión de un abogado especializado en protección de datos en Ecuador, especialmente porque el proyecto involucra datos de menores de edad y transferencias internacionales de datos.</w:t>
      </w:r>
    </w:p>
    <w:p>
      <w:pPr>
        <w:pStyle w:val="Heading1"/>
        <w:spacing w:after="160" w:before="360"/>
      </w:pPr>
      <w:r>
        <w:t xml:space="preserve">1. Marco legal aplicable</w:t>
      </w:r>
    </w:p>
    <w:p>
      <w:pPr>
        <w:pStyle w:val="ListParagraph"/>
        <w:numPr>
          <w:ilvl w:val="0"/>
          <w:numId w:val="2"/>
        </w:numPr>
        <w:spacing w:after="80"/>
      </w:pPr>
      <w:r>
        <w:rPr>
          <w:b/>
          <w:bCs/>
        </w:rPr>
        <w:t xml:space="preserve">Ley Orgánica de Protección de Datos Personales: </w:t>
      </w:r>
      <w:r>
        <w:t xml:space="preserve">Ley 0 (LOPDP), publicada en el Registro Oficial Quinto Suplemento Nº 459 del 26 de mayo de 2021.</w:t>
      </w:r>
    </w:p>
    <w:p>
      <w:pPr>
        <w:pStyle w:val="ListParagraph"/>
        <w:numPr>
          <w:ilvl w:val="0"/>
          <w:numId w:val="2"/>
        </w:numPr>
        <w:spacing w:after="80"/>
      </w:pPr>
      <w:r>
        <w:rPr>
          <w:b/>
          <w:bCs/>
        </w:rPr>
        <w:t xml:space="preserve">Reglamento General a la LOPDP: </w:t>
      </w:r>
      <w:r>
        <w:t xml:space="preserve">Decreto Ejecutivo Nº 904, publicado el 6 de noviembre de 2023.</w:t>
      </w:r>
    </w:p>
    <w:p>
      <w:pPr>
        <w:pStyle w:val="ListParagraph"/>
        <w:numPr>
          <w:ilvl w:val="0"/>
          <w:numId w:val="2"/>
        </w:numPr>
        <w:spacing w:after="80"/>
      </w:pPr>
      <w:r>
        <w:rPr>
          <w:b/>
          <w:bCs/>
        </w:rPr>
        <w:t xml:space="preserve">Autoridad de control: </w:t>
      </w:r>
      <w:r>
        <w:t xml:space="preserve">Superintendencia de Protección de Datos Personales (SPDP) — spdp.gob.ec.</w:t>
      </w:r>
    </w:p>
    <w:p>
      <w:pPr>
        <w:pStyle w:val="ListParagraph"/>
        <w:numPr>
          <w:ilvl w:val="0"/>
          <w:numId w:val="2"/>
        </w:numPr>
        <w:spacing w:after="80"/>
      </w:pPr>
      <w:r>
        <w:rPr>
          <w:b/>
          <w:bCs/>
        </w:rPr>
        <w:t xml:space="preserve">Resoluciones recientes relevantes: </w:t>
      </w:r>
      <w:r>
        <w:t xml:space="preserve">Resolución SPDP-SPD-2026-0004-R (28 de enero de 2026) — transferencias nacionales e internacionales; Resolución SPDP-2025-0022-R — metodología de sanciones; Resolución SPDP-2025-0028-R — registro de Delegados de Protección de Datos.</w:t>
      </w:r>
    </w:p>
    <w:p>
      <w:pPr>
        <w:pStyle w:val="Heading1"/>
        <w:spacing w:after="160" w:before="360"/>
      </w:pPr>
      <w:r>
        <w:t xml:space="preserve">2. Qué datos personales maneja este proyecto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00"/>
      </w:tblGrid>
      <w:tr>
        <w:tc>
          <w:tcPr>
            <w:tcW w:type="dxa" w:w="2600"/>
            <w:shd w:fill="1F3864" w:val="clear"/>
            <w:tcMar>
              <w:top w:type="dxa" w:w="80"/>
              <w:left w:type="dxa" w:w="100"/>
              <w:bottom w:type="dxa" w:w="80"/>
              <w:right w:type="dxa" w:w="100"/>
            </w:tcMar>
          </w:tcPr>
          <w:p>
            <w:r>
              <w:rPr>
                <w:b/>
                <w:bCs/>
                <w:color w:val="FFFFFF"/>
              </w:rPr>
              <w:t xml:space="preserve">Dato</w:t>
            </w:r>
          </w:p>
        </w:tc>
        <w:tc>
          <w:tcPr>
            <w:tcW w:type="dxa" w:w="3200"/>
            <w:shd w:fill="1F3864" w:val="clear"/>
            <w:tcMar>
              <w:top w:type="dxa" w:w="80"/>
              <w:left w:type="dxa" w:w="100"/>
              <w:bottom w:type="dxa" w:w="80"/>
              <w:right w:type="dxa" w:w="100"/>
            </w:tcMar>
          </w:tcPr>
          <w:p>
            <w:r>
              <w:rPr>
                <w:b/>
                <w:bCs/>
                <w:color w:val="FFFFFF"/>
              </w:rPr>
              <w:t xml:space="preserve">¿Dónde vive?</w:t>
            </w:r>
          </w:p>
        </w:tc>
        <w:tc>
          <w:tcPr>
            <w:tcW w:type="dxa" w:w="2900"/>
            <w:shd w:fill="1F3864" w:val="clear"/>
            <w:tcMar>
              <w:top w:type="dxa" w:w="80"/>
              <w:left w:type="dxa" w:w="100"/>
              <w:bottom w:type="dxa" w:w="80"/>
              <w:right w:type="dxa" w:w="100"/>
            </w:tcMar>
          </w:tcPr>
          <w:p>
            <w:r>
              <w:rPr>
                <w:b/>
                <w:bCs/>
                <w:color w:val="FFFFFF"/>
              </w:rPr>
              <w:t xml:space="preserve">Nota de clasificación</w:t>
            </w:r>
          </w:p>
        </w:tc>
      </w:tr>
      <w:tr>
        <w:tc>
          <w:tcPr>
            <w:tcW w:type="dxa" w:w="2600"/>
            <w:tcMar>
              <w:top w:type="dxa" w:w="80"/>
              <w:left w:type="dxa" w:w="100"/>
              <w:bottom w:type="dxa" w:w="80"/>
              <w:right w:type="dxa" w:w="100"/>
            </w:tcMar>
          </w:tcPr>
          <w:p>
            <w:r>
              <w:rPr>
                <w:b w:val="false"/>
                <w:bCs w:val="false"/>
                <w:color w:val="000000"/>
              </w:rPr>
              <w:t xml:space="preserve">Nombre completo del estudiante/docente</w:t>
            </w:r>
          </w:p>
        </w:tc>
        <w:tc>
          <w:tcPr>
            <w:tcW w:type="dxa" w:w="3200"/>
            <w:tcMar>
              <w:top w:type="dxa" w:w="80"/>
              <w:left w:type="dxa" w:w="100"/>
              <w:bottom w:type="dxa" w:w="80"/>
              <w:right w:type="dxa" w:w="100"/>
            </w:tcMar>
          </w:tcPr>
          <w:p>
            <w:r>
              <w:rPr>
                <w:b w:val="false"/>
                <w:bCs w:val="false"/>
                <w:color w:val="000000"/>
              </w:rPr>
              <w:t xml:space="preserve">MongoDB Atlas (colección colegios)</w:t>
            </w:r>
          </w:p>
        </w:tc>
        <w:tc>
          <w:tcPr>
            <w:tcW w:type="dxa" w:w="2900"/>
            <w:tcMar>
              <w:top w:type="dxa" w:w="80"/>
              <w:left w:type="dxa" w:w="100"/>
              <w:bottom w:type="dxa" w:w="80"/>
              <w:right w:type="dxa" w:w="100"/>
            </w:tcMar>
          </w:tcPr>
          <w:p>
            <w:r>
              <w:rPr>
                <w:b w:val="false"/>
                <w:bCs w:val="false"/>
                <w:color w:val="000000"/>
              </w:rPr>
              <w:t xml:space="preserve">La mayoría de los titulares son menores de edad — categoría de protección especial, aunque no sea "dato sensible" en sentido estricto</w:t>
            </w:r>
          </w:p>
        </w:tc>
      </w:tr>
      <w:tr>
        <w:tc>
          <w:tcPr>
            <w:tcW w:type="dxa" w:w="2600"/>
            <w:tcMar>
              <w:top w:type="dxa" w:w="80"/>
              <w:left w:type="dxa" w:w="100"/>
              <w:bottom w:type="dxa" w:w="80"/>
              <w:right w:type="dxa" w:w="100"/>
            </w:tcMar>
          </w:tcPr>
          <w:p>
            <w:r>
              <w:rPr>
                <w:b w:val="false"/>
                <w:bCs w:val="false"/>
                <w:color w:val="000000"/>
              </w:rPr>
              <w:t xml:space="preserve">Usuario y contraseña</w:t>
            </w:r>
          </w:p>
        </w:tc>
        <w:tc>
          <w:tcPr>
            <w:tcW w:type="dxa" w:w="3200"/>
            <w:tcMar>
              <w:top w:type="dxa" w:w="80"/>
              <w:left w:type="dxa" w:w="100"/>
              <w:bottom w:type="dxa" w:w="80"/>
              <w:right w:type="dxa" w:w="100"/>
            </w:tcMar>
          </w:tcPr>
          <w:p>
            <w:r>
              <w:rPr>
                <w:b w:val="false"/>
                <w:bCs w:val="false"/>
                <w:color w:val="000000"/>
              </w:rPr>
              <w:t xml:space="preserve">MongoDB Atlas, correo electrónico (texto plano)</w:t>
            </w:r>
          </w:p>
        </w:tc>
        <w:tc>
          <w:tcPr>
            <w:tcW w:type="dxa" w:w="2900"/>
            <w:tcMar>
              <w:top w:type="dxa" w:w="80"/>
              <w:left w:type="dxa" w:w="100"/>
              <w:bottom w:type="dxa" w:w="80"/>
              <w:right w:type="dxa" w:w="100"/>
            </w:tcMar>
          </w:tcPr>
          <w:p>
            <w:r>
              <w:rPr>
                <w:b w:val="false"/>
                <w:bCs w:val="false"/>
                <w:color w:val="000000"/>
              </w:rPr>
              <w:t xml:space="preserve">No es "dato sensible" per LOPDP, pero exige medidas de seguridad reforzadas por ser credencial de acceso</w:t>
            </w:r>
          </w:p>
        </w:tc>
      </w:tr>
      <w:tr>
        <w:tc>
          <w:tcPr>
            <w:tcW w:type="dxa" w:w="2600"/>
            <w:tcMar>
              <w:top w:type="dxa" w:w="80"/>
              <w:left w:type="dxa" w:w="100"/>
              <w:bottom w:type="dxa" w:w="80"/>
              <w:right w:type="dxa" w:w="100"/>
            </w:tcMar>
          </w:tcPr>
          <w:p>
            <w:r>
              <w:rPr>
                <w:b w:val="false"/>
                <w:bCs w:val="false"/>
                <w:color w:val="000000"/>
              </w:rPr>
              <w:t xml:space="preserve">Correo del remitente/solicitante</w:t>
            </w:r>
          </w:p>
        </w:tc>
        <w:tc>
          <w:tcPr>
            <w:tcW w:type="dxa" w:w="3200"/>
            <w:tcMar>
              <w:top w:type="dxa" w:w="80"/>
              <w:left w:type="dxa" w:w="100"/>
              <w:bottom w:type="dxa" w:w="80"/>
              <w:right w:type="dxa" w:w="100"/>
            </w:tcMar>
          </w:tcPr>
          <w:p>
            <w:r>
              <w:rPr>
                <w:b w:val="false"/>
                <w:bCs w:val="false"/>
                <w:color w:val="000000"/>
              </w:rPr>
              <w:t xml:space="preserve">MongoDB Atlas (colección conversaciones)</w:t>
            </w:r>
          </w:p>
        </w:tc>
        <w:tc>
          <w:tcPr>
            <w:tcW w:type="dxa" w:w="2900"/>
            <w:tcMar>
              <w:top w:type="dxa" w:w="80"/>
              <w:left w:type="dxa" w:w="100"/>
              <w:bottom w:type="dxa" w:w="80"/>
              <w:right w:type="dxa" w:w="100"/>
            </w:tcMar>
          </w:tcPr>
          <w:p>
            <w:r>
              <w:rPr>
                <w:b w:val="false"/>
                <w:bCs w:val="false"/>
                <w:color w:val="000000"/>
              </w:rPr>
              <w:t xml:space="preserve">Dato personal identificable</w:t>
            </w:r>
          </w:p>
        </w:tc>
      </w:tr>
      <w:tr>
        <w:tc>
          <w:tcPr>
            <w:tcW w:type="dxa" w:w="2600"/>
            <w:tcMar>
              <w:top w:type="dxa" w:w="80"/>
              <w:left w:type="dxa" w:w="100"/>
              <w:bottom w:type="dxa" w:w="80"/>
              <w:right w:type="dxa" w:w="100"/>
            </w:tcMar>
          </w:tcPr>
          <w:p>
            <w:r>
              <w:rPr>
                <w:b w:val="false"/>
                <w:bCs w:val="false"/>
                <w:color w:val="000000"/>
              </w:rPr>
              <w:t xml:space="preserve">Colegio, provincia, nivel, paralelo</w:t>
            </w:r>
          </w:p>
        </w:tc>
        <w:tc>
          <w:tcPr>
            <w:tcW w:type="dxa" w:w="3200"/>
            <w:tcMar>
              <w:top w:type="dxa" w:w="80"/>
              <w:left w:type="dxa" w:w="100"/>
              <w:bottom w:type="dxa" w:w="80"/>
              <w:right w:type="dxa" w:w="100"/>
            </w:tcMar>
          </w:tcPr>
          <w:p>
            <w:r>
              <w:rPr>
                <w:b w:val="false"/>
                <w:bCs w:val="false"/>
                <w:color w:val="000000"/>
              </w:rPr>
              <w:t xml:space="preserve">MongoDB Atlas</w:t>
            </w:r>
          </w:p>
        </w:tc>
        <w:tc>
          <w:tcPr>
            <w:tcW w:type="dxa" w:w="2900"/>
            <w:tcMar>
              <w:top w:type="dxa" w:w="80"/>
              <w:left w:type="dxa" w:w="100"/>
              <w:bottom w:type="dxa" w:w="80"/>
              <w:right w:type="dxa" w:w="100"/>
            </w:tcMar>
          </w:tcPr>
          <w:p>
            <w:r>
              <w:rPr>
                <w:b w:val="false"/>
                <w:bCs w:val="false"/>
                <w:color w:val="000000"/>
              </w:rPr>
              <w:t xml:space="preserve">Dato personal en combinación con el nombre del estudiante</w:t>
            </w:r>
          </w:p>
        </w:tc>
      </w:tr>
    </w:tbl>
    <w:p>
      <w:pPr>
        <w:spacing w:after="160"/>
      </w:pPr>
      <w:r>
        <w:t xml:space="preserve">El proyecto no maneja, hasta donde se ha diseñado, las categorías de "datos sensibles" propiamente dichas de la LOPDP (origen étnico, orientación sexual, creencias religiosas, salud, datos biométricos o genéticos). El punto de atención real no es la sensibilidad del dato, sino que la mayoría de los titulares son niños, niñas y adolescentes.</w:t>
      </w:r>
    </w:p>
    <w:p>
      <w:pPr>
        <w:pStyle w:val="Heading1"/>
        <w:spacing w:after="160" w:before="360"/>
      </w:pPr>
      <w:r>
        <w:t xml:space="preserve">3. Hallazgos y brechas de cumplimiento</w:t>
      </w:r>
    </w:p>
    <w:p>
      <w:pPr>
        <w:pStyle w:val="Heading2"/>
        <w:spacing w:after="100" w:before="260"/>
      </w:pPr>
      <w:r>
        <w:t xml:space="preserve">3.1 Datos de niños, niñas y adolescentes — prioridad alta</w:t>
      </w:r>
    </w:p>
    <w:p>
      <w:pPr>
        <w:pStyle w:val="ListParagraph"/>
        <w:numPr>
          <w:ilvl w:val="0"/>
          <w:numId w:val="2"/>
        </w:numPr>
        <w:spacing w:after="80"/>
      </w:pPr>
      <w:r>
        <w:rPr>
          <w:b/>
          <w:bCs/>
        </w:rPr>
        <w:t xml:space="preserve">Qué exige la ley: </w:t>
      </w:r>
      <w:r>
        <w:t xml:space="preserve">la LOPDP exige que el tratamiento de datos de menores cuente con el consentimiento de su representante legal, orientado siempre al interés superior del niño. El servicio no puede condicionarse al consentimiento del propio menor.</w:t>
      </w:r>
    </w:p>
    <w:p>
      <w:pPr>
        <w:pStyle w:val="ListParagraph"/>
        <w:numPr>
          <w:ilvl w:val="0"/>
          <w:numId w:val="2"/>
        </w:numPr>
        <w:spacing w:after="80"/>
      </w:pPr>
      <w:r>
        <w:rPr>
          <w:b/>
          <w:bCs/>
        </w:rPr>
        <w:t xml:space="preserve">Acción recomendada: </w:t>
      </w:r>
      <w:r>
        <w:t xml:space="preserve">confirmar con el área legal de Santillana que el contrato o términos de servicio con cada colegio ya cubre explícitamente este uso: envío de credenciales por correo a solicitud de administradores, y el procesamiento del contenido del correo por un modelo de IA de un tercero (Google). Si el consentimiento original no contempla estos dos puntos, conviene actualizarlo antes de escalar el piloto.</w:t>
      </w:r>
    </w:p>
    <w:p>
      <w:pPr>
        <w:pStyle w:val="Heading2"/>
        <w:spacing w:after="100" w:before="260"/>
      </w:pPr>
      <w:r>
        <w:t xml:space="preserve">3.2 Transferencias internacionales de datos — prioridad alta</w:t>
      </w:r>
    </w:p>
    <w:p>
      <w:pPr>
        <w:pStyle w:val="ListParagraph"/>
        <w:numPr>
          <w:ilvl w:val="0"/>
          <w:numId w:val="2"/>
        </w:numPr>
        <w:spacing w:after="80"/>
      </w:pPr>
      <w:r>
        <w:rPr>
          <w:b/>
          <w:bCs/>
        </w:rPr>
        <w:t xml:space="preserve">Situación actual: </w:t>
      </w:r>
      <w:r>
        <w:t xml:space="preserve">MongoDB Atlas, AWS (región Ohio, us-east-2), Google AI Studio (Gemini) y Microsoft 365 están todos fuera de Ecuador.</w:t>
      </w:r>
    </w:p>
    <w:p>
      <w:pPr>
        <w:pStyle w:val="ListParagraph"/>
        <w:numPr>
          <w:ilvl w:val="0"/>
          <w:numId w:val="2"/>
        </w:numPr>
        <w:spacing w:after="80"/>
      </w:pPr>
      <w:r>
        <w:rPr>
          <w:b/>
          <w:bCs/>
        </w:rPr>
        <w:t xml:space="preserve">Qué exige la norma de transferencias (2026): </w:t>
      </w:r>
      <w:r>
        <w:t xml:space="preserve">toda transferencia internacional debe cumplir 4 condiciones (finalidad lícita, base legal, consentimiento previo/libre/específico/informado salvo excepción, y medidas de seguridad) más contar con una declaración de adecuación del país destino o garantías adecuadas (cláusulas contractuales tipo, normas corporativas vinculantes). No se encontró una declaración de adecuación vigente para Estados Unidos.</w:t>
      </w:r>
    </w:p>
    <w:p>
      <w:pPr>
        <w:pStyle w:val="ListParagraph"/>
        <w:numPr>
          <w:ilvl w:val="0"/>
          <w:numId w:val="2"/>
        </w:numPr>
        <w:spacing w:after="80"/>
      </w:pPr>
      <w:r>
        <w:rPr>
          <w:b/>
          <w:bCs/>
        </w:rPr>
        <w:t xml:space="preserve">Acción recomendada: </w:t>
      </w:r>
      <w:r>
        <w:t xml:space="preserve">revisar y aceptar formalmente el Data Processing Addendum (DPA) que ofrecen AWS, Google Cloud y MongoDB Atlas (documentos estándar, ya alineados a este tipo de exigencia por su experiencia con RGPD europeo), y conservar la documentación de esa base legal por al menos 3 años, tal como exige la norma.</w:t>
      </w:r>
    </w:p>
    <w:p>
      <w:pPr>
        <w:pStyle w:val="Heading2"/>
        <w:spacing w:after="100" w:before="260"/>
      </w:pPr>
      <w:r>
        <w:t xml:space="preserve">3.3 Contraseñas en texto plano — prioridad alta</w:t>
      </w:r>
    </w:p>
    <w:p>
      <w:pPr>
        <w:pStyle w:val="ListParagraph"/>
        <w:numPr>
          <w:ilvl w:val="0"/>
          <w:numId w:val="2"/>
        </w:numPr>
        <w:spacing w:after="80"/>
      </w:pPr>
      <w:r>
        <w:rPr>
          <w:b/>
          <w:bCs/>
        </w:rPr>
        <w:t xml:space="preserve">Situación actual: </w:t>
      </w:r>
      <w:r>
        <w:t xml:space="preserve">las contraseñas se guardan en Mongo Atlas y se entregan por correo en texto plano — señalado como riesgo desde el diseño inicial del proyecto.</w:t>
      </w:r>
    </w:p>
    <w:p>
      <w:pPr>
        <w:pStyle w:val="ListParagraph"/>
        <w:numPr>
          <w:ilvl w:val="0"/>
          <w:numId w:val="2"/>
        </w:numPr>
        <w:spacing w:after="80"/>
      </w:pPr>
      <w:r>
        <w:rPr>
          <w:b/>
          <w:bCs/>
        </w:rPr>
        <w:t xml:space="preserve">Por qué importa: </w:t>
      </w:r>
      <w:r>
        <w:t xml:space="preserve">la LOPDP exige "medidas técnicas y organizativas apropiadas"; texto plano en la base de datos y en el canal de entrega es el punto más débil del diseño actual frente a la ley.</w:t>
      </w:r>
    </w:p>
    <w:p>
      <w:pPr>
        <w:pStyle w:val="ListParagraph"/>
        <w:numPr>
          <w:ilvl w:val="0"/>
          <w:numId w:val="2"/>
        </w:numPr>
        <w:spacing w:after="80"/>
      </w:pPr>
      <w:r>
        <w:rPr>
          <w:b/>
          <w:bCs/>
        </w:rPr>
        <w:t xml:space="preserve">Acción recomendada: </w:t>
      </w:r>
      <w:r>
        <w:t xml:space="preserve">cifrar la contraseña en reposo en Mongo como mínimo; evaluar a mediano plazo migrar de "consulta de contraseña" a un flujo de reseteo (generar una contraseña temporal nueva en vez de revelar la existente), que reduce drásticamente la exposición.</w:t>
      </w:r>
    </w:p>
    <w:p>
      <w:pPr>
        <w:pStyle w:val="Heading2"/>
        <w:spacing w:after="100" w:before="260"/>
      </w:pPr>
      <w:r>
        <w:t xml:space="preserve">3.4 Delegado de Protección de Datos (DPO)</w:t>
      </w:r>
    </w:p>
    <w:p>
      <w:pPr>
        <w:pStyle w:val="ListParagraph"/>
        <w:numPr>
          <w:ilvl w:val="0"/>
          <w:numId w:val="2"/>
        </w:numPr>
        <w:spacing w:after="80"/>
      </w:pPr>
      <w:r>
        <w:rPr>
          <w:b/>
          <w:bCs/>
        </w:rPr>
        <w:t xml:space="preserve">Situación: </w:t>
      </w:r>
      <w:r>
        <w:t xml:space="preserve">la SPDP abrió un registro de Delegados de Protección de Datos del sector privado (Resolución SPDP-2025-0028-R, período de registro noviembre-diciembre de 2025); entidades que procesan datos de menores o a cierta escala suelen requerir uno designado.</w:t>
      </w:r>
    </w:p>
    <w:p>
      <w:pPr>
        <w:pStyle w:val="ListParagraph"/>
        <w:numPr>
          <w:ilvl w:val="0"/>
          <w:numId w:val="2"/>
        </w:numPr>
        <w:spacing w:after="80"/>
      </w:pPr>
      <w:r>
        <w:rPr>
          <w:b/>
          <w:bCs/>
        </w:rPr>
        <w:t xml:space="preserve">Acción recomendada: </w:t>
      </w:r>
      <w:r>
        <w:t xml:space="preserve">confirmar con el área legal de Santillana si ya existe un DPO designado y registrado ante la SPDP — es una obligación de la organización, independiente de este proyecto puntual, pero este piloto la vuelve más relevante al procesar datos de menores.</w:t>
      </w:r>
    </w:p>
    <w:p>
      <w:pPr>
        <w:pStyle w:val="Heading2"/>
        <w:spacing w:after="100" w:before="260"/>
      </w:pPr>
      <w:r>
        <w:t xml:space="preserve">3.5 Notificación de vulneraciones de seguridad</w:t>
      </w:r>
    </w:p>
    <w:p>
      <w:pPr>
        <w:pStyle w:val="ListParagraph"/>
        <w:numPr>
          <w:ilvl w:val="0"/>
          <w:numId w:val="2"/>
        </w:numPr>
        <w:spacing w:after="80"/>
      </w:pPr>
      <w:r>
        <w:rPr>
          <w:b/>
          <w:bCs/>
        </w:rPr>
        <w:t xml:space="preserve">Qué exige la ley: </w:t>
      </w:r>
      <w:r>
        <w:t xml:space="preserve">5 días hábiles para notificar a la SPDP desde que se detecta la vulneración; notificación "sin dilación indebida" a los titulares afectados cuando el riesgo es alto.</w:t>
      </w:r>
    </w:p>
    <w:p>
      <w:pPr>
        <w:pStyle w:val="ListParagraph"/>
        <w:numPr>
          <w:ilvl w:val="0"/>
          <w:numId w:val="2"/>
        </w:numPr>
        <w:spacing w:after="80"/>
      </w:pPr>
      <w:r>
        <w:rPr>
          <w:b/>
          <w:bCs/>
        </w:rPr>
        <w:t xml:space="preserve">Acción recomendada: </w:t>
      </w:r>
      <w:r>
        <w:t xml:space="preserve">el piloto no cuenta hoy con un plan de respuesta a incidentes. Conviene definir uno (a quién se notifica internamente, cómo se documenta, plantilla de notificación a la SPDP) antes de pasar a producción real.</w:t>
      </w:r>
    </w:p>
    <w:p>
      <w:pPr>
        <w:pStyle w:val="Heading2"/>
        <w:spacing w:after="100" w:before="260"/>
      </w:pPr>
      <w:r>
        <w:t xml:space="preserve">3.6 Derechos de los titulares (acceso, rectificación, cancelación, oposición, portabilidad, limitación)</w:t>
      </w:r>
    </w:p>
    <w:p>
      <w:pPr>
        <w:pStyle w:val="ListParagraph"/>
        <w:numPr>
          <w:ilvl w:val="0"/>
          <w:numId w:val="2"/>
        </w:numPr>
        <w:spacing w:after="80"/>
      </w:pPr>
      <w:r>
        <w:rPr>
          <w:b/>
          <w:bCs/>
        </w:rPr>
        <w:t xml:space="preserve">Situación actual: </w:t>
      </w:r>
      <w:r>
        <w:t xml:space="preserve">hoy no existe un canal explícito para que un colegio o representante legal solicite corregir o eliminar los datos de un estudiante en Mongo.</w:t>
      </w:r>
    </w:p>
    <w:p>
      <w:pPr>
        <w:pStyle w:val="ListParagraph"/>
        <w:numPr>
          <w:ilvl w:val="0"/>
          <w:numId w:val="2"/>
        </w:numPr>
        <w:spacing w:after="80"/>
      </w:pPr>
      <w:r>
        <w:rPr>
          <w:b/>
          <w:bCs/>
        </w:rPr>
        <w:t xml:space="preserve">Acción recomendada: </w:t>
      </w:r>
      <w:r>
        <w:t xml:space="preserve">definir un proceso simple, aunque sea manual al inicio, para atender estas solicitudes dentro de los plazos que exige la ley (15 días hábiles, prorrogables 10 días más en casos complejos).</w:t>
      </w:r>
    </w:p>
    <w:p>
      <w:pPr>
        <w:pStyle w:val="Heading1"/>
        <w:spacing w:after="160" w:before="360"/>
      </w:pPr>
      <w:r>
        <w:t xml:space="preserve">4. Lo que el diseño actual ya hace bien</w:t>
      </w:r>
    </w:p>
    <w:p>
      <w:pPr>
        <w:pStyle w:val="ListParagraph"/>
        <w:numPr>
          <w:ilvl w:val="0"/>
          <w:numId w:val="2"/>
        </w:numPr>
        <w:spacing w:after="80"/>
      </w:pPr>
      <w:r>
        <w:rPr>
          <w:b/>
          <w:bCs/>
        </w:rPr>
        <w:t xml:space="preserve">Conexión cifrada en tránsito: </w:t>
      </w:r>
      <w:r>
        <w:t xml:space="preserve">Outlook↔n8n, n8n↔Lambda, y Lambda↔MongoDB Atlas viajan cifrados (TLS/HTTPS).</w:t>
      </w:r>
    </w:p>
    <w:p>
      <w:pPr>
        <w:pStyle w:val="ListParagraph"/>
        <w:numPr>
          <w:ilvl w:val="0"/>
          <w:numId w:val="2"/>
        </w:numPr>
        <w:spacing w:after="80"/>
      </w:pPr>
      <w:r>
        <w:rPr>
          <w:b/>
          <w:bCs/>
        </w:rPr>
        <w:t xml:space="preserve">Gestión de secretos: </w:t>
      </w:r>
      <w:r>
        <w:t xml:space="preserve">las claves de API (Gemini, Mongo) viven en AWS SSM Parameter Store, fuera del código fuente.</w:t>
      </w:r>
    </w:p>
    <w:p>
      <w:pPr>
        <w:pStyle w:val="ListParagraph"/>
        <w:numPr>
          <w:ilvl w:val="0"/>
          <w:numId w:val="2"/>
        </w:numPr>
        <w:spacing w:after="80"/>
      </w:pPr>
      <w:r>
        <w:rPr>
          <w:b/>
          <w:bCs/>
        </w:rPr>
        <w:t xml:space="preserve">Registro de auditoría: </w:t>
      </w:r>
      <w:r>
        <w:t xml:space="preserve">cada consulta y cada ticket quedan registrados en la colección conversaciones de Mongo — útil para demostrar trazabilidad si la SPDP solicita evidencia.</w:t>
      </w:r>
    </w:p>
    <w:p>
      <w:pPr>
        <w:pStyle w:val="ListParagraph"/>
        <w:numPr>
          <w:ilvl w:val="0"/>
          <w:numId w:val="2"/>
        </w:numPr>
        <w:spacing w:after="80"/>
      </w:pPr>
      <w:r>
        <w:rPr>
          <w:b/>
          <w:bCs/>
        </w:rPr>
        <w:t xml:space="preserve">Acceso restringido: </w:t>
      </w:r>
      <w:r>
        <w:t xml:space="preserve">solo 4 cuentas de soporte autorizadas pueden interactuar con el sistema; no es un canal público.</w:t>
      </w:r>
    </w:p>
    <w:p>
      <w:pPr>
        <w:pStyle w:val="Heading1"/>
        <w:spacing w:after="160" w:before="360"/>
      </w:pPr>
      <w:r>
        <w:t xml:space="preserve">5. Plan de acción recomendado</w:t>
      </w:r>
    </w:p>
    <w:p>
      <w:pPr>
        <w:pStyle w:val="ListParagraph"/>
        <w:numPr>
          <w:ilvl w:val="0"/>
          <w:numId w:val="2"/>
        </w:numPr>
        <w:spacing w:after="80"/>
      </w:pPr>
      <w:r>
        <w:rPr>
          <w:b/>
          <w:bCs/>
          <w:color w:val="C0392B"/>
        </w:rPr>
        <w:t xml:space="preserve">Antes de producción real: </w:t>
      </w:r>
      <w:r>
        <w:t xml:space="preserve">Confirmar con legal que el consentimiento de los representantes de los estudiantes cubre este uso específico; confirmar existencia de un DPO registrado; revisar y aceptar los DPA de AWS, Google Cloud y MongoDB Atlas, documentando la base de transferencia internacional.</w:t>
      </w:r>
    </w:p>
    <w:p>
      <w:pPr>
        <w:pStyle w:val="ListParagraph"/>
        <w:numPr>
          <w:ilvl w:val="0"/>
          <w:numId w:val="2"/>
        </w:numPr>
        <w:spacing w:after="80"/>
      </w:pPr>
      <w:r>
        <w:rPr>
          <w:b/>
          <w:bCs/>
        </w:rPr>
        <w:t xml:space="preserve">Corto plazo: </w:t>
      </w:r>
      <w:r>
        <w:t xml:space="preserve">cifrar las contraseñas en reposo en Mongo; definir un plan de respuesta a incidentes y notificación de vulneraciones; definir el proceso para atender solicitudes de acceso/rectificación/cancelación.</w:t>
      </w:r>
    </w:p>
    <w:p>
      <w:pPr>
        <w:pStyle w:val="ListParagraph"/>
        <w:numPr>
          <w:ilvl w:val="0"/>
          <w:numId w:val="2"/>
        </w:numPr>
        <w:spacing w:after="80"/>
      </w:pPr>
      <w:r>
        <w:rPr>
          <w:b/>
          <w:bCs/>
        </w:rPr>
        <w:t xml:space="preserve">Mediano plazo: </w:t>
      </w:r>
      <w:r>
        <w:t xml:space="preserve">migrar de "consulta de contraseña" a un flujo de reseteo; habilitar autenticación en las Function URLs de AWS (ya señalado en el README de seguridad del repositorio).</w:t>
      </w:r>
    </w:p>
    <w:p>
      <w:pPr>
        <w:pStyle w:val="Heading1"/>
        <w:spacing w:after="160" w:before="360"/>
      </w:pPr>
      <w:r>
        <w:t xml:space="preserve">6. Aviso importante</w:t>
      </w:r>
    </w:p>
    <w:p>
      <w:pPr>
        <w:spacing w:after="160"/>
      </w:pPr>
      <w:r>
        <w:t xml:space="preserve">Este documento es una investigación informativa basada en fuentes públicas (texto de la ley, sitio oficial de la SPDP, y análisis de firmas legales ecuatorianas citadas abajo) y no constituye asesoría legal. Dado que el proyecto involucra datos de menores de edad y transferencias internacionales de datos — dos de los puntos de mayor exposición bajo la LOPDP —, se recomienda que el equipo legal de Santillana o un abogado especializado en protección de datos en Ecuador revise formalmente este análisis antes de escalar el piloto a producción.</w:t>
      </w:r>
    </w:p>
    <w:p>
      <w:pPr>
        <w:pStyle w:val="Heading1"/>
        <w:spacing w:after="160" w:before="360"/>
      </w:pPr>
      <w:r>
        <w:t xml:space="preserve">Fuentes consultadas</w:t>
      </w:r>
    </w:p>
    <w:p>
      <w:pPr>
        <w:spacing w:after="60"/>
      </w:pPr>
      <w:hyperlink w:history="1" r:id="rId4hfao1kuqkkiw0fnyxksf">
        <w:r>
          <w:rPr>
            <w:rStyle w:val="Hyperlink"/>
          </w:rPr>
          <w:t xml:space="preserve">Ley Orgánica de Protección de Datos Personales — Ministerio de Telecomunicaciones</w:t>
        </w:r>
      </w:hyperlink>
    </w:p>
    <w:p>
      <w:pPr>
        <w:spacing w:after="60"/>
      </w:pPr>
      <w:hyperlink w:history="1" r:id="rId7i5ttuj6fx5hypopff1zn">
        <w:r>
          <w:rPr>
            <w:rStyle w:val="Hyperlink"/>
          </w:rPr>
          <w:t xml:space="preserve">Superintendencia de Protección de Datos Personales — spdp.gob.ec</w:t>
        </w:r>
      </w:hyperlink>
    </w:p>
    <w:p>
      <w:pPr>
        <w:spacing w:after="60"/>
      </w:pPr>
      <w:hyperlink w:history="1" r:id="rIdtzaebwpazdo7vz1hnaptb">
        <w:r>
          <w:rPr>
            <w:rStyle w:val="Hyperlink"/>
          </w:rPr>
          <w:t xml:space="preserve">Política de Protección de Datos Personales — SPDP</w:t>
        </w:r>
      </w:hyperlink>
    </w:p>
    <w:p>
      <w:pPr>
        <w:spacing w:after="60"/>
      </w:pPr>
      <w:hyperlink w:history="1" r:id="rIdtpenovozrkvpwvrfqbw93">
        <w:r>
          <w:rPr>
            <w:rStyle w:val="Hyperlink"/>
          </w:rPr>
          <w:t xml:space="preserve">Guía Definitiva de la LOPDP — Orizontel</w:t>
        </w:r>
      </w:hyperlink>
    </w:p>
    <w:p>
      <w:pPr>
        <w:spacing w:after="60"/>
      </w:pPr>
      <w:hyperlink w:history="1" r:id="rIdwrjkwd0vskjcflpodyy16">
        <w:r>
          <w:rPr>
            <w:rStyle w:val="Hyperlink"/>
          </w:rPr>
          <w:t xml:space="preserve">Norma General de Transferencias o Comunicaciones de Datos Personales — CorralRosales</w:t>
        </w:r>
      </w:hyperlink>
    </w:p>
    <w:p>
      <w:pPr>
        <w:spacing w:after="60"/>
      </w:pPr>
      <w:hyperlink w:history="1" r:id="rIdbsu1aok4_b16e0pb8ce3u">
        <w:r>
          <w:rPr>
            <w:rStyle w:val="Hyperlink"/>
          </w:rPr>
          <w:t xml:space="preserve">Regulación de la Transferencia Nacional e Internacional de Datos Personales — Kruger Law</w:t>
        </w:r>
      </w:hyperlink>
    </w:p>
    <w:p>
      <w:pPr>
        <w:spacing w:after="60"/>
      </w:pPr>
      <w:hyperlink w:history="1" r:id="rIdz0fx1lylax0c3sfhlgwem">
        <w:r>
          <w:rPr>
            <w:rStyle w:val="Hyperlink"/>
          </w:rPr>
          <w:t xml:space="preserve">Norma general para la transferencia nacional e internacional de datos personales — Robalino Law</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hfao1kuqkkiw0fnyxksf" Type="http://schemas.openxmlformats.org/officeDocument/2006/relationships/hyperlink" Target="https://www.telecomunicaciones.gob.ec/wp-content/uploads/2021/06/Ley-Organica-de-Datos-Personales.pdf" TargetMode="External"/><Relationship Id="rId7i5ttuj6fx5hypopff1zn" Type="http://schemas.openxmlformats.org/officeDocument/2006/relationships/hyperlink" Target="https://spdp.gob.ec/" TargetMode="External"/><Relationship Id="rIdtzaebwpazdo7vz1hnaptb" Type="http://schemas.openxmlformats.org/officeDocument/2006/relationships/hyperlink" Target="https://spdp.gob.ec/politica-de-proteccion-de-datos/" TargetMode="External"/><Relationship Id="rIdtpenovozrkvpwvrfqbw93" Type="http://schemas.openxmlformats.org/officeDocument/2006/relationships/hyperlink" Target="https://orizontel.ec/guia-lopdp-ecuador/" TargetMode="External"/><Relationship Id="rIdwrjkwd0vskjcflpodyy16" Type="http://schemas.openxmlformats.org/officeDocument/2006/relationships/hyperlink" Target="https://corralrosales.com/norma-general-de-transferencias-o-comunicaciones-nacionales-e-internacionales-se-datos-personales/" TargetMode="External"/><Relationship Id="rIdbsu1aok4_b16e0pb8ce3u" Type="http://schemas.openxmlformats.org/officeDocument/2006/relationships/hyperlink" Target="https://kruger.law/regulacion-de-la-transferencia-nacional-e-internacional-de-datos-personales/" TargetMode="External"/><Relationship Id="rIdz0fx1lylax0c3sfhlgwem" Type="http://schemas.openxmlformats.org/officeDocument/2006/relationships/hyperlink" Target="https://www.robalinolaw.com/es/medios/norma-transferencias-datos-personales-spdp-2026"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2026-07-13T20:02:45.430Z</dcterms:created>
  <dcterms:modified xsi:type="dcterms:W3CDTF">2026-07-13T20:02:45.431Z</dcterms:modified>
</cp:coreProperties>
</file>

<file path=docProps/custom.xml><?xml version="1.0" encoding="utf-8"?>
<Properties xmlns="http://schemas.openxmlformats.org/officeDocument/2006/custom-properties" xmlns:vt="http://schemas.openxmlformats.org/officeDocument/2006/docPropsVTypes"/>
</file>