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Justificación de tecnologías</w:t>
      </w:r>
    </w:p>
    <w:p>
      <w:pPr>
        <w:spacing w:after="400"/>
        <w:jc w:val="center"/>
      </w:pPr>
      <w:r>
        <w:rPr>
          <w:i/>
          <w:iCs/>
          <w:color w:val="555555"/>
        </w:rPr>
        <w:t xml:space="preserve">Piloto de asistente de soporte por correo — Santillana Ecuador</w:t>
      </w:r>
    </w:p>
    <w:p>
      <w:pPr>
        <w:spacing w:after="160"/>
      </w:pPr>
      <w:r>
        <w:t xml:space="preserve">Este documento justifica cada tecnología seleccionada para el piloto del asistente de soporte por correo, descrito en el diagrama de flujo compartido previamente. El criterio guía en todas las decisiones fue el mismo: cero costo durante el piloto, aprovechando recursos que la empresa ya tiene contratados (Microsoft 365, n8n, AWS) o capas gratuitas perpetuas de cada proveedor — dejando, en cada caso, un camino claro para escalar a una herramienta de pago si el proyecto se aprueba formalmente.</w:t>
      </w:r>
    </w:p>
    <w:p>
      <w:pPr>
        <w:pStyle w:val="Heading1"/>
        <w:spacing w:after="160" w:before="360"/>
      </w:pPr>
      <w:r>
        <w:t xml:space="preserve">1. Resumen de la arquitectura tecnológica</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400"/>
      </w:tblGrid>
      <w:tr>
        <w:tc>
          <w:tcPr>
            <w:tcW w:type="dxa" w:w="1900"/>
            <w:shd w:fill="1F3864" w:val="clear"/>
            <w:tcMar>
              <w:top w:type="dxa" w:w="80"/>
              <w:left w:type="dxa" w:w="100"/>
              <w:bottom w:type="dxa" w:w="80"/>
              <w:right w:type="dxa" w:w="100"/>
            </w:tcMar>
          </w:tcPr>
          <w:p>
            <w:r>
              <w:rPr>
                <w:b/>
                <w:bCs/>
                <w:color w:val="FFFFFF"/>
              </w:rPr>
              <w:t xml:space="preserve">Componente</w:t>
            </w:r>
          </w:p>
        </w:tc>
        <w:tc>
          <w:tcPr>
            <w:tcW w:type="dxa" w:w="2400"/>
            <w:shd w:fill="1F3864" w:val="clear"/>
            <w:tcMar>
              <w:top w:type="dxa" w:w="80"/>
              <w:left w:type="dxa" w:w="100"/>
              <w:bottom w:type="dxa" w:w="80"/>
              <w:right w:type="dxa" w:w="100"/>
            </w:tcMar>
          </w:tcPr>
          <w:p>
            <w:r>
              <w:rPr>
                <w:b/>
                <w:bCs/>
                <w:color w:val="FFFFFF"/>
              </w:rPr>
              <w:t xml:space="preserve">Tecnología elegida</w:t>
            </w:r>
          </w:p>
        </w:tc>
        <w:tc>
          <w:tcPr>
            <w:tcW w:type="dxa" w:w="4400"/>
            <w:shd w:fill="1F3864" w:val="clear"/>
            <w:tcMar>
              <w:top w:type="dxa" w:w="80"/>
              <w:left w:type="dxa" w:w="100"/>
              <w:bottom w:type="dxa" w:w="80"/>
              <w:right w:type="dxa" w:w="100"/>
            </w:tcMar>
          </w:tcPr>
          <w:p>
            <w:r>
              <w:rPr>
                <w:b/>
                <w:bCs/>
                <w:color w:val="FFFFFF"/>
              </w:rPr>
              <w:t xml:space="preserve">Función</w:t>
            </w:r>
          </w:p>
        </w:tc>
      </w:tr>
      <w:tr>
        <w:tc>
          <w:tcPr>
            <w:tcW w:type="dxa" w:w="1900"/>
            <w:tcMar>
              <w:top w:type="dxa" w:w="80"/>
              <w:left w:type="dxa" w:w="100"/>
              <w:bottom w:type="dxa" w:w="80"/>
              <w:right w:type="dxa" w:w="100"/>
            </w:tcMar>
          </w:tcPr>
          <w:p>
            <w:r>
              <w:rPr>
                <w:b w:val="false"/>
                <w:bCs w:val="false"/>
                <w:color w:val="000000"/>
              </w:rPr>
              <w:t xml:space="preserve">Canal de entrada</w:t>
            </w:r>
          </w:p>
        </w:tc>
        <w:tc>
          <w:tcPr>
            <w:tcW w:type="dxa" w:w="2400"/>
            <w:tcMar>
              <w:top w:type="dxa" w:w="80"/>
              <w:left w:type="dxa" w:w="100"/>
              <w:bottom w:type="dxa" w:w="80"/>
              <w:right w:type="dxa" w:w="100"/>
            </w:tcMar>
          </w:tcPr>
          <w:p>
            <w:r>
              <w:rPr>
                <w:b w:val="false"/>
                <w:bCs w:val="false"/>
                <w:color w:val="000000"/>
              </w:rPr>
              <w:t xml:space="preserve">Microsoft Outlook 365 (Microsoft Graph, OAuth 2.0)</w:t>
            </w:r>
          </w:p>
        </w:tc>
        <w:tc>
          <w:tcPr>
            <w:tcW w:type="dxa" w:w="4400"/>
            <w:tcMar>
              <w:top w:type="dxa" w:w="80"/>
              <w:left w:type="dxa" w:w="100"/>
              <w:bottom w:type="dxa" w:w="80"/>
              <w:right w:type="dxa" w:w="100"/>
            </w:tcMar>
          </w:tcPr>
          <w:p>
            <w:r>
              <w:rPr>
                <w:b w:val="false"/>
                <w:bCs w:val="false"/>
                <w:color w:val="000000"/>
              </w:rPr>
              <w:t xml:space="preserve">Recepción y envío de correos de soporte</w:t>
            </w:r>
          </w:p>
        </w:tc>
      </w:tr>
      <w:tr>
        <w:tc>
          <w:tcPr>
            <w:tcW w:type="dxa" w:w="1900"/>
            <w:tcMar>
              <w:top w:type="dxa" w:w="80"/>
              <w:left w:type="dxa" w:w="100"/>
              <w:bottom w:type="dxa" w:w="80"/>
              <w:right w:type="dxa" w:w="100"/>
            </w:tcMar>
          </w:tcPr>
          <w:p>
            <w:r>
              <w:rPr>
                <w:b w:val="false"/>
                <w:bCs w:val="false"/>
                <w:color w:val="000000"/>
              </w:rPr>
              <w:t xml:space="preserve">Orquestación</w:t>
            </w:r>
          </w:p>
        </w:tc>
        <w:tc>
          <w:tcPr>
            <w:tcW w:type="dxa" w:w="2400"/>
            <w:tcMar>
              <w:top w:type="dxa" w:w="80"/>
              <w:left w:type="dxa" w:w="100"/>
              <w:bottom w:type="dxa" w:w="80"/>
              <w:right w:type="dxa" w:w="100"/>
            </w:tcMar>
          </w:tcPr>
          <w:p>
            <w:r>
              <w:rPr>
                <w:b w:val="false"/>
                <w:bCs w:val="false"/>
                <w:color w:val="000000"/>
              </w:rPr>
              <w:t xml:space="preserve">n8n</w:t>
            </w:r>
          </w:p>
        </w:tc>
        <w:tc>
          <w:tcPr>
            <w:tcW w:type="dxa" w:w="4400"/>
            <w:tcMar>
              <w:top w:type="dxa" w:w="80"/>
              <w:left w:type="dxa" w:w="100"/>
              <w:bottom w:type="dxa" w:w="80"/>
              <w:right w:type="dxa" w:w="100"/>
            </w:tcMar>
          </w:tcPr>
          <w:p>
            <w:r>
              <w:rPr>
                <w:b w:val="false"/>
                <w:bCs w:val="false"/>
                <w:color w:val="000000"/>
              </w:rPr>
              <w:t xml:space="preserve">Conecta el correo con la lógica de decisión, sin desarrollo adicional</w:t>
            </w:r>
          </w:p>
        </w:tc>
      </w:tr>
      <w:tr>
        <w:tc>
          <w:tcPr>
            <w:tcW w:type="dxa" w:w="1900"/>
            <w:tcMar>
              <w:top w:type="dxa" w:w="80"/>
              <w:left w:type="dxa" w:w="100"/>
              <w:bottom w:type="dxa" w:w="80"/>
              <w:right w:type="dxa" w:w="100"/>
            </w:tcMar>
          </w:tcPr>
          <w:p>
            <w:r>
              <w:rPr>
                <w:b w:val="false"/>
                <w:bCs w:val="false"/>
                <w:color w:val="000000"/>
              </w:rPr>
              <w:t xml:space="preserve">Inteligencia artificial</w:t>
            </w:r>
          </w:p>
        </w:tc>
        <w:tc>
          <w:tcPr>
            <w:tcW w:type="dxa" w:w="2400"/>
            <w:tcMar>
              <w:top w:type="dxa" w:w="80"/>
              <w:left w:type="dxa" w:w="100"/>
              <w:bottom w:type="dxa" w:w="80"/>
              <w:right w:type="dxa" w:w="100"/>
            </w:tcMar>
          </w:tcPr>
          <w:p>
            <w:r>
              <w:rPr>
                <w:b w:val="false"/>
                <w:bCs w:val="false"/>
                <w:color w:val="000000"/>
              </w:rPr>
              <w:t xml:space="preserve">Google Gemini 2.5 Flash (Google AI Studio)</w:t>
            </w:r>
          </w:p>
        </w:tc>
        <w:tc>
          <w:tcPr>
            <w:tcW w:type="dxa" w:w="4400"/>
            <w:tcMar>
              <w:top w:type="dxa" w:w="80"/>
              <w:left w:type="dxa" w:w="100"/>
              <w:bottom w:type="dxa" w:w="80"/>
              <w:right w:type="dxa" w:w="100"/>
            </w:tcMar>
          </w:tcPr>
          <w:p>
            <w:r>
              <w:rPr>
                <w:b w:val="false"/>
                <w:bCs w:val="false"/>
                <w:color w:val="000000"/>
              </w:rPr>
              <w:t xml:space="preserve">Interpreta el correo y decide qué acción tomar</w:t>
            </w:r>
          </w:p>
        </w:tc>
      </w:tr>
      <w:tr>
        <w:tc>
          <w:tcPr>
            <w:tcW w:type="dxa" w:w="1900"/>
            <w:tcMar>
              <w:top w:type="dxa" w:w="80"/>
              <w:left w:type="dxa" w:w="100"/>
              <w:bottom w:type="dxa" w:w="80"/>
              <w:right w:type="dxa" w:w="100"/>
            </w:tcMar>
          </w:tcPr>
          <w:p>
            <w:r>
              <w:rPr>
                <w:b w:val="false"/>
                <w:bCs w:val="false"/>
                <w:color w:val="000000"/>
              </w:rPr>
              <w:t xml:space="preserve">Cómputo / backend</w:t>
            </w:r>
          </w:p>
        </w:tc>
        <w:tc>
          <w:tcPr>
            <w:tcW w:type="dxa" w:w="2400"/>
            <w:tcMar>
              <w:top w:type="dxa" w:w="80"/>
              <w:left w:type="dxa" w:w="100"/>
              <w:bottom w:type="dxa" w:w="80"/>
              <w:right w:type="dxa" w:w="100"/>
            </w:tcMar>
          </w:tcPr>
          <w:p>
            <w:r>
              <w:rPr>
                <w:b w:val="false"/>
                <w:bCs w:val="false"/>
                <w:color w:val="000000"/>
              </w:rPr>
              <w:t xml:space="preserve">AWS Lambda (imagen de contenedor Docker)</w:t>
            </w:r>
          </w:p>
        </w:tc>
        <w:tc>
          <w:tcPr>
            <w:tcW w:type="dxa" w:w="4400"/>
            <w:tcMar>
              <w:top w:type="dxa" w:w="80"/>
              <w:left w:type="dxa" w:w="100"/>
              <w:bottom w:type="dxa" w:w="80"/>
              <w:right w:type="dxa" w:w="100"/>
            </w:tcMar>
          </w:tcPr>
          <w:p>
            <w:r>
              <w:rPr>
                <w:b w:val="false"/>
                <w:bCs w:val="false"/>
                <w:color w:val="000000"/>
              </w:rPr>
              <w:t xml:space="preserve">Ejecuta la lógica de negocio bajo demanda</w:t>
            </w:r>
          </w:p>
        </w:tc>
      </w:tr>
      <w:tr>
        <w:tc>
          <w:tcPr>
            <w:tcW w:type="dxa" w:w="1900"/>
            <w:tcMar>
              <w:top w:type="dxa" w:w="80"/>
              <w:left w:type="dxa" w:w="100"/>
              <w:bottom w:type="dxa" w:w="80"/>
              <w:right w:type="dxa" w:w="100"/>
            </w:tcMar>
          </w:tcPr>
          <w:p>
            <w:r>
              <w:rPr>
                <w:b w:val="false"/>
                <w:bCs w:val="false"/>
                <w:color w:val="000000"/>
              </w:rPr>
              <w:t xml:space="preserve">Base de datos</w:t>
            </w:r>
          </w:p>
        </w:tc>
        <w:tc>
          <w:tcPr>
            <w:tcW w:type="dxa" w:w="2400"/>
            <w:tcMar>
              <w:top w:type="dxa" w:w="80"/>
              <w:left w:type="dxa" w:w="100"/>
              <w:bottom w:type="dxa" w:w="80"/>
              <w:right w:type="dxa" w:w="100"/>
            </w:tcMar>
          </w:tcPr>
          <w:p>
            <w:r>
              <w:rPr>
                <w:b w:val="false"/>
                <w:bCs w:val="false"/>
                <w:color w:val="000000"/>
              </w:rPr>
              <w:t xml:space="preserve">MongoDB Atlas</w:t>
            </w:r>
          </w:p>
        </w:tc>
        <w:tc>
          <w:tcPr>
            <w:tcW w:type="dxa" w:w="4400"/>
            <w:tcMar>
              <w:top w:type="dxa" w:w="80"/>
              <w:left w:type="dxa" w:w="100"/>
              <w:bottom w:type="dxa" w:w="80"/>
              <w:right w:type="dxa" w:w="100"/>
            </w:tcMar>
          </w:tcPr>
          <w:p>
            <w:r>
              <w:rPr>
                <w:b w:val="false"/>
                <w:bCs w:val="false"/>
                <w:color w:val="000000"/>
              </w:rPr>
              <w:t xml:space="preserve">Almacena credenciales, conversaciones y analítica</w:t>
            </w:r>
          </w:p>
        </w:tc>
      </w:tr>
      <w:tr>
        <w:tc>
          <w:tcPr>
            <w:tcW w:type="dxa" w:w="1900"/>
            <w:tcMar>
              <w:top w:type="dxa" w:w="80"/>
              <w:left w:type="dxa" w:w="100"/>
              <w:bottom w:type="dxa" w:w="80"/>
              <w:right w:type="dxa" w:w="100"/>
            </w:tcMar>
          </w:tcPr>
          <w:p>
            <w:r>
              <w:rPr>
                <w:b w:val="false"/>
                <w:bCs w:val="false"/>
                <w:color w:val="000000"/>
              </w:rPr>
              <w:t xml:space="preserve">Gestión de secretos</w:t>
            </w:r>
          </w:p>
        </w:tc>
        <w:tc>
          <w:tcPr>
            <w:tcW w:type="dxa" w:w="2400"/>
            <w:tcMar>
              <w:top w:type="dxa" w:w="80"/>
              <w:left w:type="dxa" w:w="100"/>
              <w:bottom w:type="dxa" w:w="80"/>
              <w:right w:type="dxa" w:w="100"/>
            </w:tcMar>
          </w:tcPr>
          <w:p>
            <w:r>
              <w:rPr>
                <w:b w:val="false"/>
                <w:bCs w:val="false"/>
                <w:color w:val="000000"/>
              </w:rPr>
              <w:t xml:space="preserve">AWS Systems Manager Parameter Store</w:t>
            </w:r>
          </w:p>
        </w:tc>
        <w:tc>
          <w:tcPr>
            <w:tcW w:type="dxa" w:w="4400"/>
            <w:tcMar>
              <w:top w:type="dxa" w:w="80"/>
              <w:left w:type="dxa" w:w="100"/>
              <w:bottom w:type="dxa" w:w="80"/>
              <w:right w:type="dxa" w:w="100"/>
            </w:tcMar>
          </w:tcPr>
          <w:p>
            <w:r>
              <w:rPr>
                <w:b w:val="false"/>
                <w:bCs w:val="false"/>
                <w:color w:val="000000"/>
              </w:rPr>
              <w:t xml:space="preserve">Guarda claves y contraseñas de forma segura</w:t>
            </w:r>
          </w:p>
        </w:tc>
      </w:tr>
      <w:tr>
        <w:tc>
          <w:tcPr>
            <w:tcW w:type="dxa" w:w="1900"/>
            <w:tcMar>
              <w:top w:type="dxa" w:w="80"/>
              <w:left w:type="dxa" w:w="100"/>
              <w:bottom w:type="dxa" w:w="80"/>
              <w:right w:type="dxa" w:w="100"/>
            </w:tcMar>
          </w:tcPr>
          <w:p>
            <w:r>
              <w:rPr>
                <w:b w:val="false"/>
                <w:bCs w:val="false"/>
                <w:color w:val="000000"/>
              </w:rPr>
              <w:t xml:space="preserve">Gestión de tickets (a futuro)</w:t>
            </w:r>
          </w:p>
        </w:tc>
        <w:tc>
          <w:tcPr>
            <w:tcW w:type="dxa" w:w="2400"/>
            <w:tcMar>
              <w:top w:type="dxa" w:w="80"/>
              <w:left w:type="dxa" w:w="100"/>
              <w:bottom w:type="dxa" w:w="80"/>
              <w:right w:type="dxa" w:w="100"/>
            </w:tcMar>
          </w:tcPr>
          <w:p>
            <w:r>
              <w:rPr>
                <w:b w:val="false"/>
                <w:bCs w:val="false"/>
                <w:color w:val="000000"/>
              </w:rPr>
              <w:t xml:space="preserve">Jira (externo, en standby)</w:t>
            </w:r>
          </w:p>
        </w:tc>
        <w:tc>
          <w:tcPr>
            <w:tcW w:type="dxa" w:w="4400"/>
            <w:tcMar>
              <w:top w:type="dxa" w:w="80"/>
              <w:left w:type="dxa" w:w="100"/>
              <w:bottom w:type="dxa" w:w="80"/>
              <w:right w:type="dxa" w:w="100"/>
            </w:tcMar>
          </w:tcPr>
          <w:p>
            <w:r>
              <w:rPr>
                <w:b w:val="false"/>
                <w:bCs w:val="false"/>
                <w:color w:val="000000"/>
              </w:rPr>
              <w:t xml:space="preserve">Seguimiento formal de incidentes de soporte</w:t>
            </w:r>
          </w:p>
        </w:tc>
      </w:tr>
    </w:tbl>
    <w:p>
      <w:pPr>
        <w:pStyle w:val="Heading1"/>
        <w:spacing w:after="160" w:before="360"/>
      </w:pPr>
      <w:r>
        <w:t xml:space="preserve">2. Justificación detallada por tecnología</w:t>
      </w:r>
    </w:p>
    <w:p>
      <w:pPr>
        <w:pStyle w:val="Heading2"/>
        <w:spacing w:after="100" w:before="260"/>
      </w:pPr>
      <w:r>
        <w:t xml:space="preserve">2.1 Microsoft Outlook 365 / Microsoft Graph API</w:t>
      </w:r>
    </w:p>
    <w:p>
      <w:pPr>
        <w:pStyle w:val="ListParagraph"/>
        <w:numPr>
          <w:ilvl w:val="0"/>
          <w:numId w:val="2"/>
        </w:numPr>
        <w:spacing w:after="80"/>
      </w:pPr>
      <w:r>
        <w:rPr>
          <w:b/>
          <w:bCs/>
        </w:rPr>
        <w:t xml:space="preserve">Por qué: </w:t>
      </w:r>
      <w:r>
        <w:t xml:space="preserve">la empresa ya usa Microsoft 365 para el correo corporativo — no se introduce ningún canal de comunicación nuevo; la persona que escribe sigue enviando un correo como siempre lo ha hecho.</w:t>
      </w:r>
    </w:p>
    <w:p>
      <w:pPr>
        <w:pStyle w:val="ListParagraph"/>
        <w:numPr>
          <w:ilvl w:val="0"/>
          <w:numId w:val="2"/>
        </w:numPr>
        <w:spacing w:after="80"/>
      </w:pPr>
      <w:r>
        <w:rPr>
          <w:b/>
          <w:bCs/>
        </w:rPr>
        <w:t xml:space="preserve">Costo: </w:t>
      </w:r>
      <w:r>
        <w:t xml:space="preserve">$0 adicional. Los 4 buzones de soporte se configuran como buzones compartidos (shared mailboxes), que no requieren licencia de usuario.</w:t>
      </w:r>
    </w:p>
    <w:p>
      <w:pPr>
        <w:pStyle w:val="ListParagraph"/>
        <w:numPr>
          <w:ilvl w:val="0"/>
          <w:numId w:val="2"/>
        </w:numPr>
        <w:spacing w:after="80"/>
      </w:pPr>
      <w:r>
        <w:rPr>
          <w:b/>
          <w:bCs/>
        </w:rPr>
        <w:t xml:space="preserve">Alternativas consideradas: </w:t>
      </w:r>
      <w:r>
        <w:t xml:space="preserve">se evaluó WhatsApp (usado en una versión anterior del piloto) — se descartó porque el canal definitivo del piloto es correo, más apropiado para un flujo de soporte con adjuntos, trazabilidad e historial por hilo de conversación.</w:t>
      </w:r>
    </w:p>
    <w:p>
      <w:pPr>
        <w:pStyle w:val="ListParagraph"/>
        <w:numPr>
          <w:ilvl w:val="0"/>
          <w:numId w:val="2"/>
        </w:numPr>
        <w:spacing w:after="80"/>
      </w:pPr>
      <w:r>
        <w:rPr>
          <w:b/>
          <w:bCs/>
        </w:rPr>
        <w:t xml:space="preserve">Camino a futuro: </w:t>
      </w:r>
      <w:r>
        <w:t xml:space="preserve">el acceso se realiza vía OAuth 2.0 (Microsoft Entra ID), el estándar de autenticación empresarial vigente, revocable de forma centralizada por TI en cualquier momento.</w:t>
      </w:r>
    </w:p>
    <w:p>
      <w:pPr>
        <w:pStyle w:val="Heading2"/>
        <w:spacing w:after="100" w:before="260"/>
      </w:pPr>
      <w:r>
        <w:t xml:space="preserve">2.2 n8n (orquestación)</w:t>
      </w:r>
    </w:p>
    <w:p>
      <w:pPr>
        <w:pStyle w:val="ListParagraph"/>
        <w:numPr>
          <w:ilvl w:val="0"/>
          <w:numId w:val="2"/>
        </w:numPr>
        <w:spacing w:after="80"/>
      </w:pPr>
      <w:r>
        <w:rPr>
          <w:b/>
          <w:bCs/>
        </w:rPr>
        <w:t xml:space="preserve">Por qué: </w:t>
      </w:r>
      <w:r>
        <w:t xml:space="preserve">es una herramienta que la empresa ya tiene disponible. Permite conectar el correo, el modelo de lenguaje y, a futuro, Jira, sin necesidad de escribir ni mantener un servicio propio de mensajería.</w:t>
      </w:r>
    </w:p>
    <w:p>
      <w:pPr>
        <w:pStyle w:val="ListParagraph"/>
        <w:numPr>
          <w:ilvl w:val="0"/>
          <w:numId w:val="2"/>
        </w:numPr>
        <w:spacing w:after="80"/>
      </w:pPr>
      <w:r>
        <w:rPr>
          <w:b/>
          <w:bCs/>
        </w:rPr>
        <w:t xml:space="preserve">Costo: </w:t>
      </w:r>
      <w:r>
        <w:t xml:space="preserve">$0 adicional — recurso ya disponible en la empresa.</w:t>
      </w:r>
    </w:p>
    <w:p>
      <w:pPr>
        <w:pStyle w:val="ListParagraph"/>
        <w:numPr>
          <w:ilvl w:val="0"/>
          <w:numId w:val="2"/>
        </w:numPr>
        <w:spacing w:after="80"/>
      </w:pPr>
      <w:r>
        <w:rPr>
          <w:b/>
          <w:bCs/>
        </w:rPr>
        <w:t xml:space="preserve">Alternativas consideradas: </w:t>
      </w:r>
      <w:r>
        <w:t xml:space="preserve">se consideró un servicio propio de sondeo (polling) de correo — descartado por representar más código y mantenimiento sin necesidad, dado que n8n ya resuelve ese problema.</w:t>
      </w:r>
    </w:p>
    <w:p>
      <w:pPr>
        <w:pStyle w:val="Heading2"/>
        <w:spacing w:after="100" w:before="260"/>
      </w:pPr>
      <w:r>
        <w:t xml:space="preserve">2.3 Google Gemini 2.5 Flash (Google AI Studio)</w:t>
      </w:r>
    </w:p>
    <w:p>
      <w:pPr>
        <w:pStyle w:val="ListParagraph"/>
        <w:numPr>
          <w:ilvl w:val="0"/>
          <w:numId w:val="2"/>
        </w:numPr>
        <w:spacing w:after="80"/>
      </w:pPr>
      <w:r>
        <w:rPr>
          <w:b/>
          <w:bCs/>
        </w:rPr>
        <w:t xml:space="preserve">Por qué: </w:t>
      </w:r>
      <w:r>
        <w:t xml:space="preserve">modelo de lenguaje con capacidad de "function calling" (permite que el modelo decida qué acción tomar según el contenido del correo: buscar credenciales, generar un ticket, responder sobre el PIN, o derivar el tema), con un tier gratuito adecuado para el volumen de un piloto.</w:t>
      </w:r>
    </w:p>
    <w:p>
      <w:pPr>
        <w:pStyle w:val="ListParagraph"/>
        <w:numPr>
          <w:ilvl w:val="0"/>
          <w:numId w:val="2"/>
        </w:numPr>
        <w:spacing w:after="80"/>
      </w:pPr>
      <w:r>
        <w:rPr>
          <w:b/>
          <w:bCs/>
        </w:rPr>
        <w:t xml:space="preserve">Costo: </w:t>
      </w:r>
      <w:r>
        <w:t xml:space="preserve">$0 durante el piloto, sujeto a los límites de tasa del tier gratuito de Google AI Studio.</w:t>
      </w:r>
    </w:p>
    <w:p>
      <w:pPr>
        <w:pStyle w:val="ListParagraph"/>
        <w:numPr>
          <w:ilvl w:val="0"/>
          <w:numId w:val="2"/>
        </w:numPr>
        <w:spacing w:after="80"/>
      </w:pPr>
      <w:r>
        <w:rPr>
          <w:b/>
          <w:bCs/>
        </w:rPr>
        <w:t xml:space="preserve">Alternativas consideradas: </w:t>
      </w:r>
      <w:r>
        <w:t xml:space="preserve">se descartó Claude 3.5 Sonnet de Anthropic para esta etapa por tener costo por uso, sin un tier gratuito equivalente; también se descartaron modelos de código abierto autoalojados, por la complejidad operativa de mantener infraestructura de inferencia para un piloto.</w:t>
      </w:r>
    </w:p>
    <w:p>
      <w:pPr>
        <w:pStyle w:val="ListParagraph"/>
        <w:numPr>
          <w:ilvl w:val="0"/>
          <w:numId w:val="2"/>
        </w:numPr>
        <w:spacing w:after="80"/>
      </w:pPr>
      <w:r>
        <w:rPr>
          <w:b/>
          <w:bCs/>
        </w:rPr>
        <w:t xml:space="preserve">Camino a futuro: </w:t>
      </w:r>
      <w:r>
        <w:t xml:space="preserve">la lógica de decisión está aislada en un único módulo del sistema — migrar a Claude 3.5 Sonnet u otro modelo más adelante, si el proyecto se aprueba con presupuesto, es una sustitución acotada y no una reescritura del sistema.</w:t>
      </w:r>
    </w:p>
    <w:p>
      <w:pPr>
        <w:pStyle w:val="Heading2"/>
        <w:spacing w:after="100" w:before="260"/>
      </w:pPr>
      <w:r>
        <w:t xml:space="preserve">2.4 AWS Lambda (cómputo)</w:t>
      </w:r>
    </w:p>
    <w:p>
      <w:pPr>
        <w:pStyle w:val="ListParagraph"/>
        <w:numPr>
          <w:ilvl w:val="0"/>
          <w:numId w:val="2"/>
        </w:numPr>
        <w:spacing w:after="80"/>
      </w:pPr>
      <w:r>
        <w:rPr>
          <w:b/>
          <w:bCs/>
        </w:rPr>
        <w:t xml:space="preserve">Por qué: </w:t>
      </w:r>
      <w:r>
        <w:t xml:space="preserve">no requiere mantener un servidor encendido de forma permanente — el sistema solo consume recursos cuando efectivamente llega un correo. La empresa ya cuenta con una cuenta de AWS disponible para el proyecto.</w:t>
      </w:r>
    </w:p>
    <w:p>
      <w:pPr>
        <w:pStyle w:val="ListParagraph"/>
        <w:numPr>
          <w:ilvl w:val="0"/>
          <w:numId w:val="2"/>
        </w:numPr>
        <w:spacing w:after="80"/>
      </w:pPr>
      <w:r>
        <w:rPr>
          <w:b/>
          <w:bCs/>
        </w:rPr>
        <w:t xml:space="preserve">Costo: </w:t>
      </w:r>
      <w:r>
        <w:t xml:space="preserve">$0 — capa gratuita perpetua de AWS Lambda (1 millón de solicitudes y 400.000 GB-segundos de cómputo al mes, sin fecha de vencimiento).</w:t>
      </w:r>
    </w:p>
    <w:p>
      <w:pPr>
        <w:pStyle w:val="ListParagraph"/>
        <w:numPr>
          <w:ilvl w:val="0"/>
          <w:numId w:val="2"/>
        </w:numPr>
        <w:spacing w:after="80"/>
      </w:pPr>
      <w:r>
        <w:rPr>
          <w:b/>
          <w:bCs/>
        </w:rPr>
        <w:t xml:space="preserve">Alternativas consideradas: </w:t>
      </w:r>
      <w:r>
        <w:t xml:space="preserve">se descartó un servidor EC2 permanente porque su capa gratuita cubre únicamente los primeros 12 meses de una cuenta nueva, y porque implica mantenimiento de sistema operativo y parches que Lambda no requiere.</w:t>
      </w:r>
    </w:p>
    <w:p>
      <w:pPr>
        <w:pStyle w:val="ListParagraph"/>
        <w:numPr>
          <w:ilvl w:val="0"/>
          <w:numId w:val="2"/>
        </w:numPr>
        <w:spacing w:after="80"/>
      </w:pPr>
      <w:r>
        <w:rPr>
          <w:b/>
          <w:bCs/>
        </w:rPr>
        <w:t xml:space="preserve">Camino a futuro: </w:t>
      </w:r>
      <w:r>
        <w:t xml:space="preserve">cada función se empaqueta como imagen de contenedor Docker, lo que facilita migrar a otro proveedor de cómputo en el futuro si fuera necesario.</w:t>
      </w:r>
    </w:p>
    <w:p>
      <w:pPr>
        <w:pStyle w:val="Heading2"/>
        <w:spacing w:after="100" w:before="260"/>
      </w:pPr>
      <w:r>
        <w:t xml:space="preserve">2.5 MongoDB Atlas (base de datos)</w:t>
      </w:r>
    </w:p>
    <w:p>
      <w:pPr>
        <w:pStyle w:val="ListParagraph"/>
        <w:numPr>
          <w:ilvl w:val="0"/>
          <w:numId w:val="2"/>
        </w:numPr>
        <w:spacing w:after="80"/>
      </w:pPr>
      <w:r>
        <w:rPr>
          <w:b/>
          <w:bCs/>
        </w:rPr>
        <w:t xml:space="preserve">Por qué: </w:t>
      </w:r>
      <w:r>
        <w:t xml:space="preserve">modelo de datos flexible (documentos), adecuado para estructuras que varían entre colegios (cada Excel puede tener columnas distintas) y para conversaciones de correo con historial variable.</w:t>
      </w:r>
    </w:p>
    <w:p>
      <w:pPr>
        <w:pStyle w:val="ListParagraph"/>
        <w:numPr>
          <w:ilvl w:val="0"/>
          <w:numId w:val="2"/>
        </w:numPr>
        <w:spacing w:after="80"/>
      </w:pPr>
      <w:r>
        <w:rPr>
          <w:b/>
          <w:bCs/>
        </w:rPr>
        <w:t xml:space="preserve">Costo: </w:t>
      </w:r>
      <w:r>
        <w:t xml:space="preserve">$0 — tier gratuito M0 de Atlas, en uso desde el inicio del proyecto.</w:t>
      </w:r>
    </w:p>
    <w:p>
      <w:pPr>
        <w:pStyle w:val="ListParagraph"/>
        <w:numPr>
          <w:ilvl w:val="0"/>
          <w:numId w:val="2"/>
        </w:numPr>
        <w:spacing w:after="80"/>
      </w:pPr>
      <w:r>
        <w:rPr>
          <w:b/>
          <w:bCs/>
        </w:rPr>
        <w:t xml:space="preserve">Camino a futuro: </w:t>
      </w:r>
      <w:r>
        <w:t xml:space="preserve">la misma base de datos alimenta directamente la analítica del piloto (tickets por tipo, tiempos de resolución, eventos por categoría), sin necesidad de una herramienta de reporting adicional.</w:t>
      </w:r>
    </w:p>
    <w:p>
      <w:pPr>
        <w:pStyle w:val="Heading2"/>
        <w:spacing w:after="100" w:before="260"/>
      </w:pPr>
      <w:r>
        <w:t xml:space="preserve">2.6 AWS Systems Manager Parameter Store (gestión de secretos)</w:t>
      </w:r>
    </w:p>
    <w:p>
      <w:pPr>
        <w:pStyle w:val="ListParagraph"/>
        <w:numPr>
          <w:ilvl w:val="0"/>
          <w:numId w:val="2"/>
        </w:numPr>
        <w:spacing w:after="80"/>
      </w:pPr>
      <w:r>
        <w:rPr>
          <w:b/>
          <w:bCs/>
        </w:rPr>
        <w:t xml:space="preserve">Por qué: </w:t>
      </w:r>
      <w:r>
        <w:t xml:space="preserve">permite mantener las claves (Mongo, Gemini y, a futuro, Jira) fuera del código fuente, con cifrado.</w:t>
      </w:r>
    </w:p>
    <w:p>
      <w:pPr>
        <w:pStyle w:val="ListParagraph"/>
        <w:numPr>
          <w:ilvl w:val="0"/>
          <w:numId w:val="2"/>
        </w:numPr>
        <w:spacing w:after="80"/>
      </w:pPr>
      <w:r>
        <w:rPr>
          <w:b/>
          <w:bCs/>
        </w:rPr>
        <w:t xml:space="preserve">Costo: </w:t>
      </w:r>
      <w:r>
        <w:t xml:space="preserve">$0 — el tier estándar de Parameter Store es gratuito. Se evitó deliberadamente AWS Secrets Manager, que tiene un costo mensual por cada secreto almacenado.</w:t>
      </w:r>
    </w:p>
    <w:p>
      <w:pPr>
        <w:pStyle w:val="Heading2"/>
        <w:spacing w:after="100" w:before="260"/>
      </w:pPr>
      <w:r>
        <w:t xml:space="preserve">2.7 Jira (gestión de tickets — en standby)</w:t>
      </w:r>
    </w:p>
    <w:p>
      <w:pPr>
        <w:pStyle w:val="ListParagraph"/>
        <w:numPr>
          <w:ilvl w:val="0"/>
          <w:numId w:val="2"/>
        </w:numPr>
        <w:spacing w:after="80"/>
      </w:pPr>
      <w:r>
        <w:rPr>
          <w:b/>
          <w:bCs/>
        </w:rPr>
        <w:t xml:space="preserve">Por qué: </w:t>
      </w:r>
      <w:r>
        <w:t xml:space="preserve">sistema de tickets externo con el que la organización ya trabaja para soporte. El piloto deja preparada la integración: cada ticket queda registrado con toda su información, enlazado al ticket anterior de la misma conversación cuando corresponde.</w:t>
      </w:r>
    </w:p>
    <w:p>
      <w:pPr>
        <w:pStyle w:val="ListParagraph"/>
        <w:numPr>
          <w:ilvl w:val="0"/>
          <w:numId w:val="2"/>
        </w:numPr>
        <w:spacing w:after="80"/>
      </w:pPr>
      <w:r>
        <w:rPr>
          <w:b/>
          <w:bCs/>
        </w:rPr>
        <w:t xml:space="preserve">Costo: </w:t>
      </w:r>
      <w:r>
        <w:t xml:space="preserve">sin costo adicional atribuible a este proyecto (herramienta externa ya contratada por la organización).</w:t>
      </w:r>
    </w:p>
    <w:p>
      <w:pPr>
        <w:pStyle w:val="ListParagraph"/>
        <w:numPr>
          <w:ilvl w:val="0"/>
          <w:numId w:val="2"/>
        </w:numPr>
        <w:spacing w:after="80"/>
      </w:pPr>
      <w:r>
        <w:rPr>
          <w:b/>
          <w:bCs/>
        </w:rPr>
        <w:t xml:space="preserve">Camino a futuro: </w:t>
      </w:r>
      <w:r>
        <w:t xml:space="preserve">se activará en cuanto se disponga de las credenciales de acceso al Jira externo.</w:t>
      </w:r>
    </w:p>
    <w:p>
      <w:pPr>
        <w:pStyle w:val="Heading2"/>
        <w:spacing w:after="100" w:before="260"/>
      </w:pPr>
      <w:r>
        <w:t xml:space="preserve">2.8 Node.js (lenguaje y entorno de ejecución)</w:t>
      </w:r>
    </w:p>
    <w:p>
      <w:pPr>
        <w:pStyle w:val="ListParagraph"/>
        <w:numPr>
          <w:ilvl w:val="0"/>
          <w:numId w:val="2"/>
        </w:numPr>
        <w:spacing w:after="80"/>
      </w:pPr>
      <w:r>
        <w:rPr>
          <w:b/>
          <w:bCs/>
        </w:rPr>
        <w:t xml:space="preserve">Por qué: </w:t>
      </w:r>
      <w:r>
        <w:t xml:space="preserve">mismo lenguaje en ambos componentes del sistema (recepción de correos y carga de credenciales), tiempos de arranque rápidos en AWS Lambda, y el mejor soporte nativo tanto para el SDK de Google Gemini como para imágenes de contenedor de Lambda.</w:t>
      </w:r>
    </w:p>
    <w:p>
      <w:pPr>
        <w:pStyle w:val="ListParagraph"/>
        <w:numPr>
          <w:ilvl w:val="0"/>
          <w:numId w:val="2"/>
        </w:numPr>
        <w:spacing w:after="80"/>
      </w:pPr>
      <w:r>
        <w:rPr>
          <w:b/>
          <w:bCs/>
        </w:rPr>
        <w:t xml:space="preserve">Costo: </w:t>
      </w:r>
      <w:r/>
    </w:p>
    <w:p>
      <w:pPr>
        <w:pStyle w:val="ListParagraph"/>
        <w:numPr>
          <w:ilvl w:val="0"/>
          <w:numId w:val="2"/>
        </w:numPr>
        <w:spacing w:after="80"/>
      </w:pPr>
      <w:r>
        <w:rPr>
          <w:b/>
          <w:bCs/>
        </w:rPr>
        <w:t xml:space="preserve">Alternativas consideradas: </w:t>
      </w:r>
      <w:r>
        <w:t xml:space="preserve">la versión previa del piloto estaba en Python — se migró a Node.js por rendimiento en Lambda y por mantener consistencia entre ambas aplicaciones del sistema.</w:t>
      </w:r>
    </w:p>
    <w:p>
      <w:pPr>
        <w:pStyle w:val="Heading1"/>
        <w:spacing w:after="160" w:before="360"/>
      </w:pPr>
      <w:r>
        <w:t xml:space="preserve">3. Resumen de costos</w:t>
      </w:r>
    </w:p>
    <w:p>
      <w:pPr>
        <w:spacing w:after="160"/>
      </w:pPr>
      <w:r>
        <w:t xml:space="preserve">Desglose de costos por recurso durante la etapa de piloto:</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4200"/>
      </w:tblGrid>
      <w:tr>
        <w:tc>
          <w:tcPr>
            <w:tcW w:type="dxa" w:w="3200"/>
            <w:shd w:fill="1F3864" w:val="clear"/>
            <w:tcMar>
              <w:top w:type="dxa" w:w="80"/>
              <w:left w:type="dxa" w:w="100"/>
              <w:bottom w:type="dxa" w:w="80"/>
              <w:right w:type="dxa" w:w="100"/>
            </w:tcMar>
          </w:tcPr>
          <w:p>
            <w:r>
              <w:rPr>
                <w:b/>
                <w:bCs/>
                <w:color w:val="FFFFFF"/>
              </w:rPr>
              <w:t xml:space="preserve">Recurso</w:t>
            </w:r>
          </w:p>
        </w:tc>
        <w:tc>
          <w:tcPr>
            <w:tcW w:type="dxa" w:w="1300"/>
            <w:shd w:fill="1F3864" w:val="clear"/>
            <w:tcMar>
              <w:top w:type="dxa" w:w="80"/>
              <w:left w:type="dxa" w:w="100"/>
              <w:bottom w:type="dxa" w:w="80"/>
              <w:right w:type="dxa" w:w="100"/>
            </w:tcMar>
          </w:tcPr>
          <w:p>
            <w:r>
              <w:rPr>
                <w:b/>
                <w:bCs/>
                <w:color w:val="FFFFFF"/>
              </w:rPr>
              <w:t xml:space="preserve">Costo</w:t>
            </w:r>
          </w:p>
        </w:tc>
        <w:tc>
          <w:tcPr>
            <w:tcW w:type="dxa" w:w="4200"/>
            <w:shd w:fill="1F3864" w:val="clear"/>
            <w:tcMar>
              <w:top w:type="dxa" w:w="80"/>
              <w:left w:type="dxa" w:w="100"/>
              <w:bottom w:type="dxa" w:w="80"/>
              <w:right w:type="dxa" w:w="100"/>
            </w:tcMar>
          </w:tcPr>
          <w:p>
            <w:r>
              <w:rPr>
                <w:b/>
                <w:bCs/>
                <w:color w:val="FFFFFF"/>
              </w:rPr>
              <w:t xml:space="preserve">Nota</w:t>
            </w:r>
          </w:p>
        </w:tc>
      </w:tr>
      <w:tr>
        <w:tc>
          <w:tcPr>
            <w:tcW w:type="dxa" w:w="3200"/>
            <w:tcMar>
              <w:top w:type="dxa" w:w="80"/>
              <w:left w:type="dxa" w:w="100"/>
              <w:bottom w:type="dxa" w:w="80"/>
              <w:right w:type="dxa" w:w="100"/>
            </w:tcMar>
          </w:tcPr>
          <w:p>
            <w:r>
              <w:rPr>
                <w:b w:val="false"/>
                <w:bCs w:val="false"/>
                <w:color w:val="000000"/>
              </w:rPr>
              <w:t xml:space="preserve">AWS Lambda (ambas funciones)</w:t>
            </w:r>
          </w:p>
        </w:tc>
        <w:tc>
          <w:tcPr>
            <w:tcW w:type="dxa" w:w="1300"/>
            <w:tcMar>
              <w:top w:type="dxa" w:w="80"/>
              <w:left w:type="dxa" w:w="100"/>
              <w:bottom w:type="dxa" w:w="80"/>
              <w:right w:type="dxa" w:w="100"/>
            </w:tcMar>
          </w:tcPr>
          <w:p>
            <w:r>
              <w:rPr>
                <w:b w:val="false"/>
                <w:bCs w:val="false"/>
                <w:color w:val="000000"/>
              </w:rPr>
              <w:t xml:space="preserve">$0</w:t>
            </w:r>
          </w:p>
        </w:tc>
        <w:tc>
          <w:tcPr>
            <w:tcW w:type="dxa" w:w="4200"/>
            <w:tcMar>
              <w:top w:type="dxa" w:w="80"/>
              <w:left w:type="dxa" w:w="100"/>
              <w:bottom w:type="dxa" w:w="80"/>
              <w:right w:type="dxa" w:w="100"/>
            </w:tcMar>
          </w:tcPr>
          <w:p>
            <w:r>
              <w:rPr>
                <w:b w:val="false"/>
                <w:bCs w:val="false"/>
                <w:color w:val="000000"/>
              </w:rPr>
              <w:t xml:space="preserve">Capa gratuita perpetua (1M solicitudes + 400.000 GB-seg/mes)</w:t>
            </w:r>
          </w:p>
        </w:tc>
      </w:tr>
      <w:tr>
        <w:tc>
          <w:tcPr>
            <w:tcW w:type="dxa" w:w="3200"/>
            <w:tcMar>
              <w:top w:type="dxa" w:w="80"/>
              <w:left w:type="dxa" w:w="100"/>
              <w:bottom w:type="dxa" w:w="80"/>
              <w:right w:type="dxa" w:w="100"/>
            </w:tcMar>
          </w:tcPr>
          <w:p>
            <w:r>
              <w:rPr>
                <w:b w:val="false"/>
                <w:bCs w:val="false"/>
                <w:color w:val="000000"/>
              </w:rPr>
              <w:t xml:space="preserve">AWS ECR</w:t>
            </w:r>
          </w:p>
        </w:tc>
        <w:tc>
          <w:tcPr>
            <w:tcW w:type="dxa" w:w="1300"/>
            <w:tcMar>
              <w:top w:type="dxa" w:w="80"/>
              <w:left w:type="dxa" w:w="100"/>
              <w:bottom w:type="dxa" w:w="80"/>
              <w:right w:type="dxa" w:w="100"/>
            </w:tcMar>
          </w:tcPr>
          <w:p>
            <w:r>
              <w:rPr>
                <w:b w:val="false"/>
                <w:bCs w:val="false"/>
                <w:color w:val="000000"/>
              </w:rPr>
              <w:t xml:space="preserve">$0</w:t>
            </w:r>
          </w:p>
        </w:tc>
        <w:tc>
          <w:tcPr>
            <w:tcW w:type="dxa" w:w="4200"/>
            <w:tcMar>
              <w:top w:type="dxa" w:w="80"/>
              <w:left w:type="dxa" w:w="100"/>
              <w:bottom w:type="dxa" w:w="80"/>
              <w:right w:type="dxa" w:w="100"/>
            </w:tcMar>
          </w:tcPr>
          <w:p>
            <w:r>
              <w:rPr>
                <w:b w:val="false"/>
                <w:bCs w:val="false"/>
                <w:color w:val="000000"/>
              </w:rPr>
              <w:t xml:space="preserve">Primeros 500 MB/mes gratis; suficiente para las dos imágenes</w:t>
            </w:r>
          </w:p>
        </w:tc>
      </w:tr>
      <w:tr>
        <w:tc>
          <w:tcPr>
            <w:tcW w:type="dxa" w:w="3200"/>
            <w:tcMar>
              <w:top w:type="dxa" w:w="80"/>
              <w:left w:type="dxa" w:w="100"/>
              <w:bottom w:type="dxa" w:w="80"/>
              <w:right w:type="dxa" w:w="100"/>
            </w:tcMar>
          </w:tcPr>
          <w:p>
            <w:r>
              <w:rPr>
                <w:b w:val="false"/>
                <w:bCs w:val="false"/>
                <w:color w:val="000000"/>
              </w:rPr>
              <w:t xml:space="preserve">AWS Function URL</w:t>
            </w:r>
          </w:p>
        </w:tc>
        <w:tc>
          <w:tcPr>
            <w:tcW w:type="dxa" w:w="1300"/>
            <w:tcMar>
              <w:top w:type="dxa" w:w="80"/>
              <w:left w:type="dxa" w:w="100"/>
              <w:bottom w:type="dxa" w:w="80"/>
              <w:right w:type="dxa" w:w="100"/>
            </w:tcMar>
          </w:tcPr>
          <w:p>
            <w:r>
              <w:rPr>
                <w:b w:val="false"/>
                <w:bCs w:val="false"/>
                <w:color w:val="000000"/>
              </w:rPr>
              <w:t xml:space="preserve">$0</w:t>
            </w:r>
          </w:p>
        </w:tc>
        <w:tc>
          <w:tcPr>
            <w:tcW w:type="dxa" w:w="4200"/>
            <w:tcMar>
              <w:top w:type="dxa" w:w="80"/>
              <w:left w:type="dxa" w:w="100"/>
              <w:bottom w:type="dxa" w:w="80"/>
              <w:right w:type="dxa" w:w="100"/>
            </w:tcMar>
          </w:tcPr>
          <w:p>
            <w:r>
              <w:rPr>
                <w:b w:val="false"/>
                <w:bCs w:val="false"/>
                <w:color w:val="000000"/>
              </w:rPr>
              <w:t xml:space="preserve">No es un recurso de API Gateway, sin cargo aparte</w:t>
            </w:r>
          </w:p>
        </w:tc>
      </w:tr>
      <w:tr>
        <w:tc>
          <w:tcPr>
            <w:tcW w:type="dxa" w:w="3200"/>
            <w:tcMar>
              <w:top w:type="dxa" w:w="80"/>
              <w:left w:type="dxa" w:w="100"/>
              <w:bottom w:type="dxa" w:w="80"/>
              <w:right w:type="dxa" w:w="100"/>
            </w:tcMar>
          </w:tcPr>
          <w:p>
            <w:r>
              <w:rPr>
                <w:b w:val="false"/>
                <w:bCs w:val="false"/>
                <w:color w:val="000000"/>
              </w:rPr>
              <w:t xml:space="preserve">AWS SSM Parameter Store</w:t>
            </w:r>
          </w:p>
        </w:tc>
        <w:tc>
          <w:tcPr>
            <w:tcW w:type="dxa" w:w="1300"/>
            <w:tcMar>
              <w:top w:type="dxa" w:w="80"/>
              <w:left w:type="dxa" w:w="100"/>
              <w:bottom w:type="dxa" w:w="80"/>
              <w:right w:type="dxa" w:w="100"/>
            </w:tcMar>
          </w:tcPr>
          <w:p>
            <w:r>
              <w:rPr>
                <w:b w:val="false"/>
                <w:bCs w:val="false"/>
                <w:color w:val="000000"/>
              </w:rPr>
              <w:t xml:space="preserve">$0</w:t>
            </w:r>
          </w:p>
        </w:tc>
        <w:tc>
          <w:tcPr>
            <w:tcW w:type="dxa" w:w="4200"/>
            <w:tcMar>
              <w:top w:type="dxa" w:w="80"/>
              <w:left w:type="dxa" w:w="100"/>
              <w:bottom w:type="dxa" w:w="80"/>
              <w:right w:type="dxa" w:w="100"/>
            </w:tcMar>
          </w:tcPr>
          <w:p>
            <w:r>
              <w:rPr>
                <w:b w:val="false"/>
                <w:bCs w:val="false"/>
                <w:color w:val="000000"/>
              </w:rPr>
              <w:t xml:space="preserve">Tier estándar gratuito</w:t>
            </w:r>
          </w:p>
        </w:tc>
      </w:tr>
      <w:tr>
        <w:tc>
          <w:tcPr>
            <w:tcW w:type="dxa" w:w="3200"/>
            <w:tcMar>
              <w:top w:type="dxa" w:w="80"/>
              <w:left w:type="dxa" w:w="100"/>
              <w:bottom w:type="dxa" w:w="80"/>
              <w:right w:type="dxa" w:w="100"/>
            </w:tcMar>
          </w:tcPr>
          <w:p>
            <w:r>
              <w:rPr>
                <w:b w:val="false"/>
                <w:bCs w:val="false"/>
                <w:color w:val="000000"/>
              </w:rPr>
              <w:t xml:space="preserve">MongoDB Atlas (M0)</w:t>
            </w:r>
          </w:p>
        </w:tc>
        <w:tc>
          <w:tcPr>
            <w:tcW w:type="dxa" w:w="1300"/>
            <w:tcMar>
              <w:top w:type="dxa" w:w="80"/>
              <w:left w:type="dxa" w:w="100"/>
              <w:bottom w:type="dxa" w:w="80"/>
              <w:right w:type="dxa" w:w="100"/>
            </w:tcMar>
          </w:tcPr>
          <w:p>
            <w:r>
              <w:rPr>
                <w:b w:val="false"/>
                <w:bCs w:val="false"/>
                <w:color w:val="000000"/>
              </w:rPr>
              <w:t xml:space="preserve">$0</w:t>
            </w:r>
          </w:p>
        </w:tc>
        <w:tc>
          <w:tcPr>
            <w:tcW w:type="dxa" w:w="4200"/>
            <w:tcMar>
              <w:top w:type="dxa" w:w="80"/>
              <w:left w:type="dxa" w:w="100"/>
              <w:bottom w:type="dxa" w:w="80"/>
              <w:right w:type="dxa" w:w="100"/>
            </w:tcMar>
          </w:tcPr>
          <w:p>
            <w:r>
              <w:rPr>
                <w:b w:val="false"/>
                <w:bCs w:val="false"/>
                <w:color w:val="000000"/>
              </w:rPr>
              <w:t xml:space="preserve">Cluster gratuito</w:t>
            </w:r>
          </w:p>
        </w:tc>
      </w:tr>
      <w:tr>
        <w:tc>
          <w:tcPr>
            <w:tcW w:type="dxa" w:w="3200"/>
            <w:tcMar>
              <w:top w:type="dxa" w:w="80"/>
              <w:left w:type="dxa" w:w="100"/>
              <w:bottom w:type="dxa" w:w="80"/>
              <w:right w:type="dxa" w:w="100"/>
            </w:tcMar>
          </w:tcPr>
          <w:p>
            <w:r>
              <w:rPr>
                <w:b w:val="false"/>
                <w:bCs w:val="false"/>
                <w:color w:val="000000"/>
              </w:rPr>
              <w:t xml:space="preserve">Google AI Studio (Gemini)</w:t>
            </w:r>
          </w:p>
        </w:tc>
        <w:tc>
          <w:tcPr>
            <w:tcW w:type="dxa" w:w="1300"/>
            <w:tcMar>
              <w:top w:type="dxa" w:w="80"/>
              <w:left w:type="dxa" w:w="100"/>
              <w:bottom w:type="dxa" w:w="80"/>
              <w:right w:type="dxa" w:w="100"/>
            </w:tcMar>
          </w:tcPr>
          <w:p>
            <w:r>
              <w:rPr>
                <w:b w:val="false"/>
                <w:bCs w:val="false"/>
                <w:color w:val="000000"/>
              </w:rPr>
              <w:t xml:space="preserve">$0</w:t>
            </w:r>
          </w:p>
        </w:tc>
        <w:tc>
          <w:tcPr>
            <w:tcW w:type="dxa" w:w="4200"/>
            <w:tcMar>
              <w:top w:type="dxa" w:w="80"/>
              <w:left w:type="dxa" w:w="100"/>
              <w:bottom w:type="dxa" w:w="80"/>
              <w:right w:type="dxa" w:w="100"/>
            </w:tcMar>
          </w:tcPr>
          <w:p>
            <w:r>
              <w:rPr>
                <w:b w:val="false"/>
                <w:bCs w:val="false"/>
                <w:color w:val="000000"/>
              </w:rPr>
              <w:t xml:space="preserve">Con límites de tasa del tier gratuito</w:t>
            </w:r>
          </w:p>
        </w:tc>
      </w:tr>
      <w:tr>
        <w:tc>
          <w:tcPr>
            <w:tcW w:type="dxa" w:w="3200"/>
            <w:tcMar>
              <w:top w:type="dxa" w:w="80"/>
              <w:left w:type="dxa" w:w="100"/>
              <w:bottom w:type="dxa" w:w="80"/>
              <w:right w:type="dxa" w:w="100"/>
            </w:tcMar>
          </w:tcPr>
          <w:p>
            <w:r>
              <w:rPr>
                <w:b w:val="false"/>
                <w:bCs w:val="false"/>
                <w:color w:val="000000"/>
              </w:rPr>
              <w:t xml:space="preserve">Outlook 365 (buzones compartidos)</w:t>
            </w:r>
          </w:p>
        </w:tc>
        <w:tc>
          <w:tcPr>
            <w:tcW w:type="dxa" w:w="1300"/>
            <w:tcMar>
              <w:top w:type="dxa" w:w="80"/>
              <w:left w:type="dxa" w:w="100"/>
              <w:bottom w:type="dxa" w:w="80"/>
              <w:right w:type="dxa" w:w="100"/>
            </w:tcMar>
          </w:tcPr>
          <w:p>
            <w:r>
              <w:rPr>
                <w:b w:val="false"/>
                <w:bCs w:val="false"/>
                <w:color w:val="000000"/>
              </w:rPr>
              <w:t xml:space="preserve">$0</w:t>
            </w:r>
          </w:p>
        </w:tc>
        <w:tc>
          <w:tcPr>
            <w:tcW w:type="dxa" w:w="4200"/>
            <w:tcMar>
              <w:top w:type="dxa" w:w="80"/>
              <w:left w:type="dxa" w:w="100"/>
              <w:bottom w:type="dxa" w:w="80"/>
              <w:right w:type="dxa" w:w="100"/>
            </w:tcMar>
          </w:tcPr>
          <w:p>
            <w:r>
              <w:rPr>
                <w:b w:val="false"/>
                <w:bCs w:val="false"/>
                <w:color w:val="000000"/>
              </w:rPr>
              <w:t xml:space="preserve">Sin costo de licencia por ser shared mailboxes</w:t>
            </w:r>
          </w:p>
        </w:tc>
      </w:tr>
      <w:tr>
        <w:tc>
          <w:tcPr>
            <w:tcW w:type="dxa" w:w="3200"/>
            <w:tcMar>
              <w:top w:type="dxa" w:w="80"/>
              <w:left w:type="dxa" w:w="100"/>
              <w:bottom w:type="dxa" w:w="80"/>
              <w:right w:type="dxa" w:w="100"/>
            </w:tcMar>
          </w:tcPr>
          <w:p>
            <w:r>
              <w:rPr>
                <w:b w:val="false"/>
                <w:bCs w:val="false"/>
                <w:color w:val="000000"/>
              </w:rPr>
              <w:t xml:space="preserve">n8n</w:t>
            </w:r>
          </w:p>
        </w:tc>
        <w:tc>
          <w:tcPr>
            <w:tcW w:type="dxa" w:w="1300"/>
            <w:tcMar>
              <w:top w:type="dxa" w:w="80"/>
              <w:left w:type="dxa" w:w="100"/>
              <w:bottom w:type="dxa" w:w="80"/>
              <w:right w:type="dxa" w:w="100"/>
            </w:tcMar>
          </w:tcPr>
          <w:p>
            <w:r>
              <w:rPr>
                <w:b w:val="false"/>
                <w:bCs w:val="false"/>
                <w:color w:val="000000"/>
              </w:rPr>
              <w:t xml:space="preserve">$0</w:t>
            </w:r>
          </w:p>
        </w:tc>
        <w:tc>
          <w:tcPr>
            <w:tcW w:type="dxa" w:w="4200"/>
            <w:tcMar>
              <w:top w:type="dxa" w:w="80"/>
              <w:left w:type="dxa" w:w="100"/>
              <w:bottom w:type="dxa" w:w="80"/>
              <w:right w:type="dxa" w:w="100"/>
            </w:tcMar>
          </w:tcPr>
          <w:p>
            <w:r>
              <w:rPr>
                <w:b w:val="false"/>
                <w:bCs w:val="false"/>
                <w:color w:val="000000"/>
              </w:rPr>
              <w:t xml:space="preserve">Herramienta ya disponible en la empresa</w:t>
            </w:r>
          </w:p>
        </w:tc>
      </w:tr>
    </w:tbl>
    <w:p>
      <w:pPr>
        <w:pStyle w:val="Heading1"/>
        <w:spacing w:after="160" w:before="360"/>
      </w:pPr>
      <w:r>
        <w:t xml:space="preserve">4. Camino a futuro (si el proyecto se aprueba formalmente)</w:t>
      </w:r>
    </w:p>
    <w:p>
      <w:pPr>
        <w:pStyle w:val="ListParagraph"/>
        <w:numPr>
          <w:ilvl w:val="0"/>
          <w:numId w:val="2"/>
        </w:numPr>
        <w:spacing w:after="80"/>
      </w:pPr>
      <w:r>
        <w:rPr>
          <w:b/>
          <w:bCs/>
        </w:rPr>
        <w:t xml:space="preserve">Modelo de IA: </w:t>
      </w:r>
      <w:r>
        <w:t xml:space="preserve">actualización del modelo de lenguaje a Claude 3.5 Sonnet u otro de mayor capacidad, con costo por uso y mejor calidad de respuesta.</w:t>
      </w:r>
    </w:p>
    <w:p>
      <w:pPr>
        <w:pStyle w:val="ListParagraph"/>
        <w:numPr>
          <w:ilvl w:val="0"/>
          <w:numId w:val="2"/>
        </w:numPr>
        <w:spacing w:after="80"/>
      </w:pPr>
      <w:r>
        <w:rPr>
          <w:b/>
          <w:bCs/>
        </w:rPr>
        <w:t xml:space="preserve">Jira: </w:t>
      </w:r>
      <w:r>
        <w:t xml:space="preserve">activación completa de la integración con el Jira externo, incluyendo el cierre automático de tickets.</w:t>
      </w:r>
    </w:p>
    <w:p>
      <w:pPr>
        <w:pStyle w:val="ListParagraph"/>
        <w:numPr>
          <w:ilvl w:val="0"/>
          <w:numId w:val="2"/>
        </w:numPr>
        <w:spacing w:after="80"/>
      </w:pPr>
      <w:r>
        <w:rPr>
          <w:b/>
          <w:bCs/>
        </w:rPr>
        <w:t xml:space="preserve">Base de datos: </w:t>
      </w:r>
      <w:r>
        <w:t xml:space="preserve">evaluar un tier pagado de MongoDB Atlas si el volumen de colegios y estudiantes crece más allá de lo que cubre el tier gratuito.</w:t>
      </w:r>
    </w:p>
    <w:p>
      <w:pPr>
        <w:pStyle w:val="ListParagraph"/>
        <w:numPr>
          <w:ilvl w:val="0"/>
          <w:numId w:val="2"/>
        </w:numPr>
        <w:spacing w:after="80"/>
      </w:pPr>
      <w:r>
        <w:rPr>
          <w:b/>
          <w:bCs/>
        </w:rPr>
        <w:t xml:space="preserve">Seguridad: </w:t>
      </w:r>
      <w:r>
        <w:t xml:space="preserve">añadir autenticación (AWS IAM o un secreto compartido) a las Function URLs, actualmente abiertas sin autenticación, lo cual es aceptable solo durante el piloto.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2026-07-09T22:02:51.949Z</dcterms:created>
  <dcterms:modified xsi:type="dcterms:W3CDTF">2026-07-09T22:02:51.957Z</dcterms:modified>
</cp:coreProperties>
</file>

<file path=docProps/custom.xml><?xml version="1.0" encoding="utf-8"?>
<Properties xmlns="http://schemas.openxmlformats.org/officeDocument/2006/custom-properties" xmlns:vt="http://schemas.openxmlformats.org/officeDocument/2006/docPropsVTypes"/>
</file>