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B8A6"/>
          <w:sz w:val="28"/>
        </w:rPr>
        <w:t>PIT DE INVESTIMENTO</w:t>
      </w:r>
    </w:p>
    <w:p>
      <w:r>
        <w:rPr>
          <w:b/>
          <w:color w:val="0B1324"/>
          <w:sz w:val="50"/>
        </w:rPr>
        <w:t>Infraestrutura de recarga elétrica</w:t>
        <w:br/>
        <w:t>com portfólio escalável e upside não capturado</w:t>
      </w:r>
    </w:p>
    <w:p>
      <w:r>
        <w:rPr>
          <w:color w:val="475569"/>
          <w:sz w:val="26"/>
        </w:rPr>
        <w:t>Versão resumida do relatório para investidores</w:t>
        <w:br/>
        <w:t>Base: Relatório detalhado de implantação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2FE"/>
            <w:vAlign w:val="center"/>
          </w:tcPr>
          <w:p>
            <w:pPr>
              <w:jc w:val="left"/>
            </w:pPr>
            <w:r/>
            <w:r>
              <w:rPr>
                <w:b/>
                <w:color w:val="0C4A6E"/>
                <w:sz w:val="24"/>
              </w:rPr>
              <w:t>Tese central: o negócio foi concebido com 06 produtos, porém a modelagem financeira atual considera apenas 03. Isso torna a projeção apresentada conservadora e deixa upside relevante fora do resultado projetado.</w:t>
            </w:r>
          </w:p>
        </w:tc>
      </w:tr>
    </w:tbl>
    <w:p/>
    <w:p>
      <w:pPr>
        <w:jc w:val="left"/>
      </w:pPr>
      <w:r>
        <w:rPr>
          <w:color w:val="64748B"/>
          <w:sz w:val="21"/>
        </w:rPr>
        <w:t>Maio/2026</w:t>
      </w:r>
    </w:p>
    <w:p>
      <w:r>
        <w:br w:type="page"/>
      </w:r>
    </w:p>
    <w:p>
      <w:r>
        <w:rPr>
          <w:b/>
          <w:color w:val="0B1324"/>
          <w:sz w:val="36"/>
        </w:rPr>
        <w:t>1. Sumário Executivo</w:t>
      </w:r>
    </w:p>
    <w:p>
      <w:r>
        <w:t>O relatório consolidado demonstra uma oportunidade consistente de implantação de um negócio voltado à infraestrutura de recarga para veículos elétricos, com proposta de valor integrada, aderência a segmentos estratégicos e premissas financeiras atrativas para tomada de decisão de investimento.</w:t>
      </w:r>
    </w:p>
    <w:p>
      <w:r>
        <w:t>A operação foi desenhada para atuar como parceira técnica, comercial e operacional na implantação, operação e monetização da recarga elétrica, atendendo desde projetos complexos e contratos de maior porte até soluções padronizadas para pequenas e médias empresas.</w:t>
      </w:r>
    </w:p>
    <w:p>
      <w:r>
        <w:t>Sob a ótica financeira, o plano trabalha com aporte próprio planejado de R$ 11 milhões, payback estimado em até 18 meses, ramp-up a partir de julho de 2026 e geração operacional relevante já no primeiro ciclo de implantação. O ponto mais importante, entretanto, é que o cenário projetado ainda não captura o potencial total do negócio, pois somente metade do portfólio foi efetivamente modelada nas contas.</w:t>
      </w:r>
    </w:p>
    <w:p>
      <w:r>
        <w:rPr>
          <w:b/>
          <w:color w:val="0B1324"/>
          <w:sz w:val="36"/>
        </w:rPr>
        <w:t>2. Tese de Investimento</w:t>
      </w:r>
    </w:p>
    <w:p>
      <w:pPr>
        <w:spacing w:after="60"/>
        <w:ind w:left="288"/>
      </w:pPr>
      <w:r>
        <w:rPr>
          <w:color w:val="334155"/>
          <w:sz w:val="23"/>
        </w:rPr>
        <w:t>• Mercado em formação, com necessidade crescente de infraestrutura de recarga rápida e semirrápida.</w:t>
      </w:r>
    </w:p>
    <w:p>
      <w:pPr>
        <w:spacing w:after="60"/>
        <w:ind w:left="288"/>
      </w:pPr>
      <w:r>
        <w:rPr>
          <w:color w:val="334155"/>
          <w:sz w:val="23"/>
        </w:rPr>
        <w:t>• Modelo integrado que combina equipamento, implantação, software e serviços especializados.</w:t>
      </w:r>
    </w:p>
    <w:p>
      <w:pPr>
        <w:spacing w:after="60"/>
        <w:ind w:left="288"/>
      </w:pPr>
      <w:r>
        <w:rPr>
          <w:color w:val="334155"/>
          <w:sz w:val="23"/>
        </w:rPr>
        <w:t>• Possibilidade de atuar em múltiplos segmentos: rodovias, postos, eletropostos, PMEs, imobiliário, estacionamentos, condomínios e rede de instaladores.</w:t>
      </w:r>
    </w:p>
    <w:p>
      <w:pPr>
        <w:spacing w:after="60"/>
        <w:ind w:left="288"/>
      </w:pPr>
      <w:r>
        <w:rPr>
          <w:color w:val="334155"/>
          <w:sz w:val="23"/>
        </w:rPr>
        <w:t>• Receita híbrida, somando vendas transacionais com recorrência de software e potencial de pós-venda.</w:t>
      </w:r>
    </w:p>
    <w:p>
      <w:pPr>
        <w:spacing w:after="60"/>
        <w:ind w:left="288"/>
      </w:pPr>
      <w:r>
        <w:rPr>
          <w:color w:val="334155"/>
          <w:sz w:val="23"/>
        </w:rPr>
        <w:t>• Upside material na ativação de produtos ainda não modelados financeiramente.</w:t>
      </w:r>
    </w:p>
    <w:p>
      <w:r>
        <w:rPr>
          <w:b/>
          <w:color w:val="0B1324"/>
          <w:sz w:val="36"/>
        </w:rPr>
        <w:t>3. Portfólio de Produtos e Status de Modelagem</w:t>
      </w:r>
    </w:p>
    <w:p>
      <w:r>
        <w:t>O negócio foi concebido com 06 produtos. Entretanto, a projeção financeira atual foi construída com base em apenas 03 deles.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1324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23"/>
              </w:rPr>
              <w:t>Produto</w:t>
            </w:r>
          </w:p>
        </w:tc>
        <w:tc>
          <w:tcPr>
            <w:tcW w:type="dxa" w:w="3360"/>
            <w:shd w:fill="0B1324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23"/>
              </w:rPr>
              <w:t>Status atual</w:t>
            </w:r>
          </w:p>
        </w:tc>
        <w:tc>
          <w:tcPr>
            <w:tcW w:type="dxa" w:w="3360"/>
            <w:shd w:fill="0B1324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23"/>
              </w:rPr>
              <w:t>Entra na projeção atual?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F172A"/>
                <w:sz w:val="23"/>
              </w:rPr>
              <w:t>Estudo de viabilidade / assessoria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F172A"/>
                <w:sz w:val="23"/>
              </w:rPr>
              <w:t>Portfólio definido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D97706"/>
                <w:sz w:val="23"/>
              </w:rPr>
              <w:t>Não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F172A"/>
                <w:sz w:val="23"/>
              </w:rPr>
              <w:t>Kit / equipamento principal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0F172A"/>
                <w:sz w:val="23"/>
              </w:rPr>
              <w:t>Modelado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059669"/>
                <w:sz w:val="23"/>
              </w:rPr>
              <w:t>Sim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F172A"/>
                <w:sz w:val="23"/>
              </w:rPr>
              <w:t>Implantação / instalação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0F172A"/>
                <w:sz w:val="23"/>
              </w:rPr>
              <w:t>Modelado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059669"/>
                <w:sz w:val="23"/>
              </w:rPr>
              <w:t>Sim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F172A"/>
                <w:sz w:val="23"/>
              </w:rPr>
              <w:t>Software de gestão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0F172A"/>
                <w:sz w:val="23"/>
              </w:rPr>
              <w:t>Modelado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059669"/>
                <w:sz w:val="23"/>
              </w:rPr>
              <w:t>Sim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F172A"/>
                <w:sz w:val="23"/>
              </w:rPr>
              <w:t>Peças e upgrades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F172A"/>
                <w:sz w:val="23"/>
              </w:rPr>
              <w:t>A desenvolver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D97706"/>
                <w:sz w:val="23"/>
              </w:rPr>
              <w:t>Não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F172A"/>
                <w:sz w:val="23"/>
              </w:rPr>
              <w:t>Manutenção especializada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F172A"/>
                <w:sz w:val="23"/>
              </w:rPr>
              <w:t>A desenvolver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color w:val="D97706"/>
                <w:sz w:val="23"/>
              </w:rPr>
              <w:t>Não</w:t>
            </w:r>
          </w:p>
        </w:tc>
      </w:tr>
    </w:tbl>
    <w:p>
      <w:r>
        <w:rPr>
          <w:b/>
          <w:color w:val="0F766E"/>
        </w:rPr>
        <w:t>Leitura para investidores: a projeção atual deve ser interpretada como uma base conservadora. A monetização futura dos 03 produtos ainda não modelados tende a ampliar receita, margem, recorrência e lifetime value da operação.</w:t>
      </w:r>
    </w:p>
    <w:p>
      <w:r>
        <w:rPr>
          <w:b/>
          <w:color w:val="0B1324"/>
          <w:sz w:val="36"/>
        </w:rPr>
        <w:t>4. Indicadores Financeiros e Premissas do Relatório</w:t>
      </w:r>
    </w:p>
    <w:p>
      <w:pPr>
        <w:spacing w:after="60"/>
        <w:ind w:left="288"/>
      </w:pPr>
      <w:r>
        <w:rPr>
          <w:color w:val="334155"/>
          <w:sz w:val="23"/>
        </w:rPr>
        <w:t>• Payback estimado em até 18 meses.</w:t>
      </w:r>
    </w:p>
    <w:p>
      <w:pPr>
        <w:spacing w:after="60"/>
        <w:ind w:left="288"/>
      </w:pPr>
      <w:r>
        <w:rPr>
          <w:color w:val="334155"/>
          <w:sz w:val="23"/>
        </w:rPr>
        <w:t>• Investimento planejado integralmente com capital próprio.</w:t>
      </w:r>
    </w:p>
    <w:p>
      <w:pPr>
        <w:spacing w:after="60"/>
        <w:ind w:left="288"/>
      </w:pPr>
      <w:r>
        <w:rPr>
          <w:color w:val="334155"/>
          <w:sz w:val="23"/>
        </w:rPr>
        <w:t>• Aporte total considerado no plano: R$ 11,0 milhões.</w:t>
      </w:r>
    </w:p>
    <w:p>
      <w:pPr>
        <w:spacing w:after="60"/>
        <w:ind w:left="288"/>
      </w:pPr>
      <w:r>
        <w:rPr>
          <w:color w:val="334155"/>
          <w:sz w:val="23"/>
        </w:rPr>
        <w:t>• Capital de giro previsto de aproximadamente R$ 1,5 milhão para cobertura de 6 meses de custos e despesas fixas.</w:t>
      </w:r>
    </w:p>
    <w:p>
      <w:pPr>
        <w:spacing w:after="60"/>
        <w:ind w:left="288"/>
      </w:pPr>
      <w:r>
        <w:rPr>
          <w:color w:val="334155"/>
          <w:sz w:val="23"/>
        </w:rPr>
        <w:t>• Receita acumulada projetada de R$ 39,04 milhões em fevereiro de 2027.</w:t>
      </w:r>
    </w:p>
    <w:p>
      <w:pPr>
        <w:spacing w:after="60"/>
        <w:ind w:left="288"/>
      </w:pPr>
      <w:r>
        <w:rPr>
          <w:color w:val="334155"/>
          <w:sz w:val="23"/>
        </w:rPr>
        <w:t>• Patamar estabilizado de receita acumulada do recorte: R$ 42,40 milhões.</w:t>
      </w:r>
    </w:p>
    <w:p>
      <w:pPr>
        <w:spacing w:after="60"/>
        <w:ind w:left="288"/>
      </w:pPr>
      <w:r>
        <w:rPr>
          <w:color w:val="334155"/>
          <w:sz w:val="23"/>
        </w:rPr>
        <w:t>• Resultado operacional acumulado projetado de R$ 14,14 milhões em fevereiro de 2027 e aproximadamente R$ 16,49 milhões no patamar estabilizado do recorte.</w:t>
      </w:r>
    </w:p>
    <w:p>
      <w:r>
        <w:rPr>
          <w:b/>
          <w:color w:val="0B1324"/>
          <w:sz w:val="36"/>
        </w:rPr>
        <w:t>5. Oportunidade de Crescimento e Upside</w:t>
      </w:r>
    </w:p>
    <w:p>
      <w:r>
        <w:t>O principal vetor de valorização do projeto não está apenas na execução da base já modelada, mas na capacidade de ativar e monetizar o portfólio completo. Os produtos de assessoria, peças/upgrades e manutenção especializada podem elevar o ticket médio por cliente, aumentar a recorrência, reduzir churn operacional e fortalecer a captura de valor ao longo de toda a vida útil da base instalada.</w:t>
      </w:r>
    </w:p>
    <w:p>
      <w:r>
        <w:t>Essa característica torna a tese particularmente interessante para investidores: o negócio já apresenta viabilidade econômica com os 03 produtos modelados, mas ainda guarda upside material não capturado na projeção atual. Em outras palavras, o relatório sinaliza uma relação risco-retorno favorável, desde que a execução comercial, operacional e de desenvolvimento dos produtos remanescentes seja bem conduzida.</w:t>
      </w:r>
    </w:p>
    <w:p>
      <w:r>
        <w:rPr>
          <w:b/>
          <w:color w:val="0B1324"/>
          <w:sz w:val="36"/>
        </w:rPr>
        <w:t>6. Conclusão</w:t>
      </w:r>
    </w:p>
    <w:p>
      <w:r>
        <w:t>Com base no relatório de implantação, conclui-se que o projeto reúne atributos importantes para um case de investimento: mercado em expansão, proposta de valor clara, múltiplas avenidas de monetização, base financeira atrativa e possibilidade de crescimento adicional além do cenário hoje projetado. O ponto-chave para avaliação é reconhecer que a modelagem atual não representa o teto do negócio; ela representa uma fotografia inicial, conservadora e ainda incompleta frente ao potencial total do portfólio.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