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B8A6"/>
          <w:sz w:val="28"/>
        </w:rPr>
        <w:t>PIT DE INVESTIMENTO</w:t>
      </w:r>
    </w:p>
    <w:p>
      <w:pPr>
        <w:jc w:val="center"/>
      </w:pPr>
      <w:r>
        <w:rPr>
          <w:rFonts w:ascii="Aptos Display" w:hAnsi="Aptos Display"/>
          <w:b/>
          <w:color w:val="0B1324"/>
          <w:sz w:val="48"/>
        </w:rPr>
        <w:t>Infraestrutura de recarga elétrica para investidores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0F2FE"/>
            <w:vAlign w:val="center"/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/>
                <w:color w:val="0B1324"/>
                <w:sz w:val="24"/>
              </w:rPr>
              <w:t>Mensagem-chave: a operação foi desenhada com 06 produtos, mas o PDF 03 mantém 03 linhas econômicas modeladas e, na rampa financeira efetiva, concentra a captura em 02 produtos: kit e software. Isso preserva upside relevante fora da conta atual.</w:t>
            </w:r>
          </w:p>
        </w:tc>
      </w:tr>
    </w:tbl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Ramp-up de referência: agosto/2027</w:t>
      </w:r>
    </w:p>
    <w:p>
      <w:pPr>
        <w:pStyle w:val="ListBullet"/>
        <w:spacing w:after="100" w:line="269" w:lineRule="auto"/>
      </w:pPr>
      <w:r>
        <w:t>Aporte-base considerado: R$ 11,5 milhões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Payback: 36 meses na visão conservadora do relatório e cerca de 12 meses na leitura otimista do fluxo projetado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Leitura adotada nesta versão: Set/2027 como primeiro mês cheio pós-ramp-up e 2028 como equivalência anualizada desse patamar</w:t>
      </w:r>
    </w:p>
    <w:p>
      <w:r>
        <w:rPr>
          <w:rFonts w:ascii="Aptos" w:hAnsi="Aptos"/>
        </w:rPr>
        <w:br w:type="page"/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1. A empresa</w:t>
      </w:r>
    </w:p>
    <w:p>
      <w:pPr>
        <w:spacing w:after="100" w:line="269" w:lineRule="auto"/>
      </w:pPr>
      <w:r>
        <w:t>O PDF 03 reforça uma tese de gestão e governança mais robusta: há previsão de conselho de administração, diretoria e gerências (coml, operacional e adm-fin), com César Lisboa na condução estratégica.</w:t>
      </w:r>
    </w:p>
    <w:p>
      <w:pPr>
        <w:pStyle w:val="ListBullet"/>
        <w:spacing w:after="100" w:line="269" w:lineRule="auto"/>
      </w:pPr>
      <w:r>
        <w:t>Valores explicitados: respeito aos valores do negócio, segurança do investimento e da operação, prioridade ao longo prazo e valorização e respeito da cadeia produtiva: colaboradores, fornecedores e clientes.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Premissa financeira do board: payback de 36 meses na visão conservadora, com o próprio fluxo projetado indicando prazo materialmente menor em cenário otimista.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2. Produtos ativados e a ativar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O portfólio segue com 06 produtos. No entanto, no PDF 03 há uma distinção importante: existem 03 linhas com preço e margem definidos, mas apenas 02 produtos capturam receita efetiva na rampa financeira — kit e software. A implantação permanece economicamente modelada, porém zerada em volume e receita.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608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36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47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Qtd. pós-ramp-up</w:t>
            </w:r>
          </w:p>
        </w:tc>
        <w:tc>
          <w:tcPr>
            <w:tcW w:type="dxa" w:w="130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Valor unitário</w:t>
            </w:r>
          </w:p>
        </w:tc>
        <w:tc>
          <w:tcPr>
            <w:tcW w:type="dxa" w:w="79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MC%</w:t>
            </w:r>
          </w:p>
        </w:tc>
        <w:tc>
          <w:tcPr>
            <w:tcW w:type="dxa" w:w="113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unitária</w:t>
            </w:r>
          </w:p>
        </w:tc>
        <w:tc>
          <w:tcPr>
            <w:tcW w:type="dxa" w:w="119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total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Kit / equipamento principal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300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R$ 80.000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33,4%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R$ 26.736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R$ 8.020.800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Implantação / instalação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Modelado sem rampa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R$ 40.000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35,3%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R$ 14.120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R$ 0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Software de gestão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4.000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R$ 1.600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75,8%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R$ 1.212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R$ 4.848.000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608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361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47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Qtd. pós-ramp-up</w:t>
            </w:r>
          </w:p>
        </w:tc>
        <w:tc>
          <w:tcPr>
            <w:tcW w:type="dxa" w:w="1304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Valor unitário</w:t>
            </w:r>
          </w:p>
        </w:tc>
        <w:tc>
          <w:tcPr>
            <w:tcW w:type="dxa" w:w="794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MC%</w:t>
            </w:r>
          </w:p>
        </w:tc>
        <w:tc>
          <w:tcPr>
            <w:tcW w:type="dxa" w:w="1134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unitária</w:t>
            </w:r>
          </w:p>
        </w:tc>
        <w:tc>
          <w:tcPr>
            <w:tcW w:type="dxa" w:w="1191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total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Estudo de viabilidade / assessoria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Peças e upgrades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Manutenção especializada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</w:tbl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Base mensal pós-ramp-up adotada nesta versão: receita de R$ 30.400.000 e margem de contribuição de R$ 12.868.800.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Leitura investidor: o PDF 03 mostra uma rampa efetiva concentrada em 02 produtos. Isso é importante porque indica que o resultado atual continua conservador mesmo antes da ativação do restante do portfólio.</w:t>
      </w:r>
    </w:p>
    <w:p>
      <w:r>
        <w:rPr>
          <w:rFonts w:ascii="Aptos" w:hAnsi="Aptos"/>
        </w:rPr>
        <w:br w:type="page"/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3. Mercado, estrutura e sensibilidade de resultado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Foi mantida a premissa de mercado informada para os slides: 5.000 kits e 5.000 instalações vendidos por mês no Brasil. Com isso, a leitura pós-ramp-up do PDF 03 aponta participação de 300 kits/mês, equivalente a 6,0% desse mercado, enquanto instalações ficam em 0,0% na rampa revisada.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Mercado mensal proxy: R$ 600 milhões. Share mensal por receita do plano: 5,1%.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O software foi mantido como base ativa separada, sem comparabilidade direta com essa premissa de mercado físico.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4. Estrutura resumida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O PDF 03 revisa a estrutura administrativa e o custo fixo mensal consolidado. O setup das frentes passa para R$ 773,5 mil e o custo fixo mensal para R$ 311,5 mil.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255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Setup resumido</w:t>
            </w:r>
          </w:p>
        </w:tc>
        <w:tc>
          <w:tcPr>
            <w:tcW w:type="dxa" w:w="272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Custo fixo mensal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Comercial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R$ 340.000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R$ 136.923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Operacional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R$ 331.000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R$ 133.299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Adm-Fin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R$ 102.500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R$ 41.278</w:t>
            </w:r>
          </w:p>
        </w:tc>
      </w:tr>
    </w:tbl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5. Resultado líquido com custo fixo preservado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A sensibilidade abaixo foi anualizada a partir da base mensal do PDF 03, mantendo a mesma estrutura de margem, custo fixo e tributação efetiva.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7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Nível de vendas</w:t>
            </w:r>
          </w:p>
        </w:tc>
        <w:tc>
          <w:tcPr>
            <w:tcW w:type="dxa" w:w="215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Receita anualizada</w:t>
            </w:r>
          </w:p>
        </w:tc>
        <w:tc>
          <w:tcPr>
            <w:tcW w:type="dxa" w:w="215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Margem de contribuição</w:t>
            </w:r>
          </w:p>
        </w:tc>
        <w:tc>
          <w:tcPr>
            <w:tcW w:type="dxa" w:w="181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Custo fixo anual</w:t>
            </w:r>
          </w:p>
        </w:tc>
        <w:tc>
          <w:tcPr>
            <w:tcW w:type="dxa" w:w="215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Resultado líquido anualizado</w:t>
            </w:r>
          </w:p>
        </w:tc>
      </w:tr>
      <w:tr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20%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R$ 72.960.000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R$ 30.885.120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R$ 3.738.000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R$ 17.013.946</w:t>
            </w:r>
          </w:p>
        </w:tc>
      </w:tr>
      <w:tr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50%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R$ 182.400.000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R$ 77.212.800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R$ 3.738.000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R$ 46.245.564</w:t>
            </w:r>
          </w:p>
        </w:tc>
      </w:tr>
      <w:tr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100%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R$ 364.800.000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R$ 154.425.600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R$ 3.738.000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R$ 94.933.188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6. Investimento necessário e premissas do investidor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O PDF 03 também revisa o bloco de investimento. O aporte total sobe para R$ 11,5 milhões e o capital de giro passa para R$ 1,9 milhão.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Capital de giro: R$ 1.900.000.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Estoques / containers: R$ 8.820.000.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Investimento total do plano: R$ 11.500.000.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No fluxo do investidor, foi mantida distribuição de 25% a partir de novembro/2026.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Indicadores recalculados para esta versão: custo de oportunidade de 15% a.a., TIR anualizada de 142,2%, VPL estimado de R$ 10.273.739 e payback aproximado de 10,2 meses.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7. Fluxo de caixa resumido do negócio e do investidor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Set/2027 (1º mês cheio após ramp-up): receita de R$ 30.400.000, margem de contribuição de R$ 12.868.800, custo fixo de R$ 311.500, carga tributária de R$ 4.646.201 e resultado líquido de R$ 7.911.099.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Equivalência anualizada 2028: receita de R$ 364.800.000, margem de contribuição de R$ 154.425.600, custo fixo anual de R$ 3.738.000 e resultado líquido de R$ 94.933.188.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Fluxo do investidor: aporte inicial de R$ 11.500.000 em jul/2026, distribuição mensal estimada de R$ 1.977.774,75 em Set/2027 e equivalência anualizada de R$ 23.733.297.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8. Fechamento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A tese permanece atrativa para captação porque o PDF 03 fortalece a narrativa estratégica, eleva a consistência da estrutura e, ao mesmo tempo, mantém uma modelagem conservadora em relação ao potencial total do portfólio.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O ponto mais importante para o investidor é que o negócio tem 06 produtos no desenho, 03 linhas econômicas modeladas e apenas 02 produtos capturando a rampa efetiva. Isso significa que parte relevante do upside continua fora da conta atual.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Leitura final: trata-se de um case com mercado estruturalmente crescente, alavancagem operacional forte, payback potencialmente rápido e expansão futura de receita, margem e recorrência ainda não incorporada na totalidade do plano.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