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14B8A6"/>
          <w:sz w:val="28"/>
        </w:rPr>
        <w:t>PIT DE INVESTIMENTO</w:t>
      </w:r>
    </w:p>
    <w:p>
      <w:r>
        <w:rPr>
          <w:rFonts w:ascii="Aptos" w:hAnsi="Aptos"/>
          <w:b/>
          <w:color w:val="0B1324"/>
          <w:sz w:val="48"/>
        </w:rPr>
        <w:t>Infraestrutura de recarga elétrica</w:t>
        <w:br/>
        <w:t>Visão executiva para investidores</w:t>
      </w:r>
    </w:p>
    <w:p>
      <w:r>
        <w:rPr>
          <w:rFonts w:ascii="Aptos" w:hAnsi="Aptos"/>
          <w:color w:val="475569"/>
          <w:sz w:val="25"/>
        </w:rPr>
        <w:t>Documento resumido com foco em empresa, produtos, estrutura, investimento, retorno e fluxo de caixa.</w:t>
        <w:br/>
        <w:t>Baseado no Relatório detalhado de implantação.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0F2FE"/>
          </w:tcPr>
          <w:p>
            <w:r/>
            <w:r>
              <w:rPr>
                <w:rFonts w:ascii="Aptos" w:hAnsi="Aptos"/>
                <w:b/>
                <w:color w:val="0C4A6E"/>
                <w:sz w:val="24"/>
              </w:rPr>
              <w:t>Mensagem-chave: a operação foi desenhada com 06 produtos, porém a modelagem financeira atual considera apenas 03. Assim, o cenário econômico apresentado deve ser lido como conservador, preservando upside relevante para o investidor.</w:t>
            </w:r>
          </w:p>
        </w:tc>
      </w:tr>
    </w:tbl>
    <w:p/>
    <w:p>
      <w:r>
        <w:rPr>
          <w:rFonts w:ascii="Aptos" w:hAnsi="Aptos"/>
          <w:color w:val="64748B"/>
          <w:sz w:val="21"/>
        </w:rPr>
        <w:t>Maio/2026</w:t>
      </w:r>
    </w:p>
    <w:p>
      <w:r>
        <w:br w:type="page"/>
      </w:r>
    </w:p>
    <w:p>
      <w:r>
        <w:rPr>
          <w:rFonts w:ascii="Aptos" w:hAnsi="Aptos"/>
          <w:b/>
          <w:color w:val="0B1324"/>
          <w:sz w:val="36"/>
        </w:rPr>
        <w:t>1. A empresa</w:t>
      </w:r>
    </w:p>
    <w:p>
      <w:r>
        <w:rPr>
          <w:rFonts w:ascii="Aptos" w:hAnsi="Aptos"/>
          <w:color w:val="1E293B"/>
          <w:sz w:val="23"/>
        </w:rPr>
        <w:t>O relatório apresenta um núcleo societário composto por 03 sócios, com liderança executiva centralizada no CEO César Lisboa para condução estratégica e tomada de decisão. A leitura geral é de um grupo orientado a resultado, tecnologia, aprendizado contínuo e segurança na execução.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Valores explicitados: respeito aos valores do negócio, segurança do investimento/operação e prioridade ao longo prazo.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Objetivos financeiros-base: payback estimado em até 18 meses, capital 100% próprio e execução em etapas acompanhando a evolução das vendas.</w:t>
      </w:r>
    </w:p>
    <w:p>
      <w:r>
        <w:rPr>
          <w:rFonts w:ascii="Aptos" w:hAnsi="Aptos"/>
          <w:b/>
          <w:color w:val="0B1324"/>
          <w:sz w:val="36"/>
        </w:rPr>
        <w:t>2. Produtos: ativados e a ativar</w:t>
      </w:r>
    </w:p>
    <w:p>
      <w:r>
        <w:rPr>
          <w:rFonts w:ascii="Aptos" w:hAnsi="Aptos"/>
          <w:color w:val="1E293B"/>
          <w:sz w:val="23"/>
        </w:rPr>
        <w:t>O portfólio concebido possui 06 produtos. Destes, apenas 03 estão efetivamente ativados/modelados na projeção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Produto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Faturamento pós ramp-up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MC %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MC em R$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Kit / equipamento principal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59669"/>
                <w:sz w:val="22"/>
              </w:rPr>
              <w:t>Ativado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R$ 24.000.000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33,4%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R$ 26.736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Implantação / instalação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59669"/>
                <w:sz w:val="22"/>
              </w:rPr>
              <w:t>Ativado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R$ 12.000.000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35,3%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R$ 14.120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Software de gestão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59669"/>
                <w:sz w:val="22"/>
              </w:rPr>
              <w:t>Ativado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R$ 6.400.000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70,0%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R$ 1.120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Estudo de viabilidade / assessoria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D97706"/>
                <w:sz w:val="22"/>
              </w:rPr>
              <w:t>A ativar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A estruturar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Peças e upgrades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D97706"/>
                <w:sz w:val="22"/>
              </w:rPr>
              <w:t>A ativar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A estruturar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Manutenção especializada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D97706"/>
                <w:sz w:val="22"/>
              </w:rPr>
              <w:t>A ativar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A estruturar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</w:tr>
    </w:tbl>
    <w:p>
      <w:r>
        <w:rPr>
          <w:rFonts w:ascii="Aptos" w:hAnsi="Aptos"/>
          <w:color w:val="1E293B"/>
          <w:sz w:val="23"/>
        </w:rPr>
        <w:t>Faturamento anual modelado após o ramp-up: R$ 42.400.000. Os 03 produtos ainda não ativados não participam desse total.</w:t>
      </w:r>
    </w:p>
    <w:p>
      <w:r>
        <w:rPr>
          <w:rFonts w:ascii="Aptos" w:hAnsi="Aptos"/>
          <w:b/>
          <w:color w:val="0B1324"/>
          <w:sz w:val="36"/>
        </w:rPr>
        <w:t>3. Demanda do mercado / market share</w:t>
      </w:r>
    </w:p>
    <w:p>
      <w:r>
        <w:rPr>
          <w:rFonts w:ascii="Aptos" w:hAnsi="Aptos"/>
          <w:color w:val="1E293B"/>
          <w:sz w:val="23"/>
        </w:rPr>
        <w:t>Para este material, foi adotada a seguinte premissa: mercado Brasil com 5.000 kits e 5.000 instalações vendidos por mês, durante todo o período do estudo (60 meses).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Mercado anual Brasil (proxy por receita): R$ 7.200.000.000.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Mercado total do estudo (60 meses): R$ 36.000.000.000.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Share do plano por receita anual: 0,6%.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Kits: 300 unidades do plano sobre 300.000 kits no estudo = 0.1%,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Instalações: 300 unidades do plano sobre 300.000 instalações no estudo = 0.1%,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Software/base ativa: não aplicável nesta premissa específica de mercado, pois a referência informada foi apenas para kits e instalações.</w:t>
      </w:r>
    </w:p>
    <w:p>
      <w:r>
        <w:rPr>
          <w:rFonts w:ascii="Aptos" w:hAnsi="Aptos"/>
          <w:b/>
          <w:color w:val="0B1324"/>
          <w:sz w:val="36"/>
        </w:rPr>
        <w:t>4. Estrutura: Comercial, Operacional e Adm-Fin</w:t>
      </w:r>
    </w:p>
    <w:p>
      <w:r>
        <w:rPr>
          <w:rFonts w:ascii="Aptos" w:hAnsi="Aptos"/>
          <w:color w:val="1E293B"/>
          <w:sz w:val="23"/>
        </w:rPr>
        <w:t>As páginas de estrutura do relatório apontam R$ 723,5 mil de setup resumido por frentes e um total mensal de custos/despesas fixas de R$ 249 mil. Para efeito de apresentação, o custo fixo mensal foi rateado proporcionalmente entre as frentes.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Estrutura</w:t>
            </w:r>
          </w:p>
        </w:tc>
        <w:tc>
          <w:tcPr>
            <w:tcW w:type="dxa" w:w="2556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Setup</w:t>
            </w:r>
          </w:p>
        </w:tc>
        <w:tc>
          <w:tcPr>
            <w:tcW w:type="dxa" w:w="2556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Custo fixo mensal (rateio)</w:t>
            </w:r>
          </w:p>
        </w:tc>
        <w:tc>
          <w:tcPr>
            <w:tcW w:type="dxa" w:w="2556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Leitura resumida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color w:val="0F172A"/>
                <w:sz w:val="22"/>
              </w:rPr>
              <w:t>Comercial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R$ 340.000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R$ 117.083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475569"/>
                <w:sz w:val="22"/>
              </w:rPr>
              <w:t>Prospecção, vendas e ativação de receita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color w:val="0F172A"/>
                <w:sz w:val="22"/>
              </w:rPr>
              <w:t>Operacional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R$ 331.000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R$ 113.983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475569"/>
                <w:sz w:val="22"/>
              </w:rPr>
              <w:t>Implantação, suporte técnico e entrega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color w:val="0F172A"/>
                <w:sz w:val="22"/>
              </w:rPr>
              <w:t>Adm-Fin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R$ 52.500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R$ 17.934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color w:val="475569"/>
                <w:sz w:val="22"/>
              </w:rPr>
              <w:t>Backoffice, gestão financeira e administração</w:t>
            </w:r>
          </w:p>
        </w:tc>
      </w:tr>
    </w:tbl>
    <w:p>
      <w:r>
        <w:rPr>
          <w:rFonts w:ascii="Aptos" w:hAnsi="Aptos"/>
          <w:b/>
          <w:color w:val="0B1324"/>
          <w:sz w:val="36"/>
        </w:rPr>
        <w:t>5. Resultado líquido em 20%, 50% e 100% das vendas</w:t>
      </w:r>
    </w:p>
    <w:p>
      <w:r>
        <w:rPr>
          <w:rFonts w:ascii="Aptos" w:hAnsi="Aptos"/>
          <w:color w:val="1E293B"/>
          <w:sz w:val="23"/>
        </w:rPr>
        <w:t>Considerando a mesma base de custo fixo anual e a mesma relação de margem de contribuição da modelagem atual, os cenários ficam assim: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Cenário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Receita anual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Margem de contribuição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Custo fixo</w:t>
            </w:r>
          </w:p>
        </w:tc>
        <w:tc>
          <w:tcPr>
            <w:tcW w:type="dxa" w:w="2045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Resultado líquido estimado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F172A"/>
                <w:sz w:val="22"/>
              </w:rPr>
              <w:t>20% das vendas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R$ 8.480.000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R$ 3.895.160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R$ 2.988.000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59669"/>
                <w:sz w:val="22"/>
              </w:rPr>
              <w:t>R$ 907.160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F172A"/>
                <w:sz w:val="22"/>
              </w:rPr>
              <w:t>50% das vendas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R$ 21.200.000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R$ 9.737.900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R$ 2.988.000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59669"/>
                <w:sz w:val="22"/>
              </w:rPr>
              <w:t>R$ 6.749.900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F172A"/>
                <w:sz w:val="22"/>
              </w:rPr>
              <w:t>100% das vendas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R$ 42.400.000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R$ 19.475.800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 w:val="0"/>
                <w:color w:val="0F172A"/>
                <w:sz w:val="22"/>
              </w:rPr>
              <w:t>R$ 2.988.000</w:t>
            </w:r>
          </w:p>
        </w:tc>
        <w:tc>
          <w:tcPr>
            <w:tcW w:type="dxa" w:w="2045"/>
          </w:tcPr>
          <w:p>
            <w:r/>
            <w:r>
              <w:rPr>
                <w:rFonts w:ascii="Aptos" w:hAnsi="Aptos"/>
                <w:b/>
                <w:color w:val="059669"/>
                <w:sz w:val="22"/>
              </w:rPr>
              <w:t>R$ 16.487.800</w:t>
            </w:r>
          </w:p>
        </w:tc>
      </w:tr>
    </w:tbl>
    <w:p>
      <w:r>
        <w:rPr>
          <w:rFonts w:ascii="Aptos" w:hAnsi="Aptos"/>
          <w:b/>
          <w:color w:val="0B1324"/>
          <w:sz w:val="36"/>
        </w:rPr>
        <w:t>6. Investimento necessário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Capital de giro previsto: R$ 1.500.000.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Estoque / containers: R$ 8.820.000.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Investimento total do plano: R$ 11.000.000.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A diferença entre a soma estrita dos itens identificados e o aporte total implícito funciona como colchão de estrutura, ativação e contingência.</w:t>
      </w:r>
    </w:p>
    <w:p>
      <w:r>
        <w:rPr>
          <w:rFonts w:ascii="Aptos" w:hAnsi="Aptos"/>
          <w:b/>
          <w:color w:val="0B1324"/>
          <w:sz w:val="36"/>
        </w:rPr>
        <w:t>7. Premissas financeiras do investidor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Distribuição ao investidor: 25% a partir de nov/2026 (com base no item “Outras — 25%” do relatório).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Custo de oportunidade assumido para avaliação: 15% a.a.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TIR estimada: 25,4% a.a.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VPL estimado: R$ 2.817.416.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Payback do investidor estimado: 2,67 anos.</w:t>
      </w:r>
    </w:p>
    <w:p>
      <w:r>
        <w:rPr>
          <w:rFonts w:ascii="Aptos" w:hAnsi="Aptos"/>
          <w:color w:val="1E293B"/>
          <w:sz w:val="23"/>
        </w:rPr>
        <w:t>Notas metodológicas: TIR, VPL e payback foram calculados sobre fluxo anual simplificado de 5 anos, em regime estável, sem valor terminal e sem incorporar o upside dos produtos ainda não ativados.</w:t>
      </w:r>
    </w:p>
    <w:p>
      <w:r>
        <w:rPr>
          <w:rFonts w:ascii="Aptos" w:hAnsi="Aptos"/>
          <w:b/>
          <w:color w:val="0B1324"/>
          <w:sz w:val="36"/>
        </w:rPr>
        <w:t>8. Fluxo de caixa do negócio (resumido)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Set/2027 (um mês após o ramp-up): receita R$ 3.533.333,3, margem de contribuição R$ 1.622.983,3, custo fixo R$ 249.000 e resultado líquido estimado R$ 1.373.983,3.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Ano cheio 2028 (jan-dez): receita R$ 42.400.000, margem de contribuição R$ 19.475.800, custo fixo R$ 2.988.000 e resultado líquido R$ 16.487.800.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Se a companhia distribuir 50% do resultado, a retenção anual estimada permanece em aproximadamente R$ 8.243.900.</w:t>
      </w:r>
    </w:p>
    <w:p>
      <w:r>
        <w:rPr>
          <w:rFonts w:ascii="Aptos" w:hAnsi="Aptos"/>
          <w:b/>
          <w:color w:val="0B1324"/>
          <w:sz w:val="36"/>
        </w:rPr>
        <w:t>9. Fluxo de caixa do investidor (resumido)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Aporte inicial-base: R$ 11.000.000 em jul/2026.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Set/2027 (um mês após o ramp-up): distribuição mensal estimada de R$ 343.495,8.</w:t>
      </w:r>
    </w:p>
    <w:p>
      <w:pPr>
        <w:ind w:left="317"/>
      </w:pPr>
      <w:r>
        <w:rPr>
          <w:rFonts w:ascii="Aptos" w:hAnsi="Aptos"/>
          <w:color w:val="334155"/>
          <w:sz w:val="23"/>
        </w:rPr>
        <w:t>• Ano cheio 2028 (jan-dez): distribuição anual estimada de R$ 4.121.950, equivalente a média mensal de R$ 343.495,8.</w:t>
      </w:r>
    </w:p>
    <w:p>
      <w:r>
        <w:rPr>
          <w:rFonts w:ascii="Aptos" w:hAnsi="Aptos"/>
          <w:b/>
          <w:color w:val="0B1324"/>
          <w:sz w:val="36"/>
        </w:rPr>
        <w:t>10. Fechamento</w:t>
      </w:r>
    </w:p>
    <w:p>
      <w:r>
        <w:rPr>
          <w:rFonts w:ascii="Aptos" w:hAnsi="Aptos"/>
          <w:color w:val="1E293B"/>
          <w:sz w:val="23"/>
        </w:rPr>
        <w:t>A tese de investimento se sustenta com base em três atributos centrais: (i) mercado com tendência estrutural de expansão, (ii) modelo integrado com boa margem e componente recorrente, e (iii) modelagem financeira já positiva antes da ativação de todo o portfólio.</w:t>
      </w:r>
    </w:p>
    <w:p>
      <w:r>
        <w:rPr>
          <w:rFonts w:ascii="Aptos" w:hAnsi="Aptos"/>
          <w:color w:val="1E293B"/>
          <w:sz w:val="23"/>
        </w:rPr>
        <w:t>Em termos práticos, o investidor não depende dos produtos ainda não ativados para a tese fechar; esses produtos funcionam como upside. Isso melhora a assimetria risco-retorno da oportunidade e reforça a leitura de que a projeção atual representa uma base conservadora — e não o teto do negócio.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