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/>
          <w:b/>
          <w:color w:val="14B8A6"/>
          <w:sz w:val="28"/>
        </w:rPr>
        <w:t>PIT DE INVESTIMENTO</w:t>
      </w:r>
    </w:p>
    <w:p>
      <w:r>
        <w:rPr>
          <w:rFonts w:ascii="Aptos" w:hAnsi="Aptos"/>
          <w:b/>
          <w:color w:val="0B1324"/>
          <w:sz w:val="48"/>
        </w:rPr>
        <w:t>Infraestrutura de recarga elétrica</w:t>
        <w:br/>
        <w:t>Visão executiva para investidores</w:t>
      </w:r>
    </w:p>
    <w:p>
      <w:r>
        <w:rPr>
          <w:rFonts w:ascii="Aptos" w:hAnsi="Aptos"/>
          <w:color w:val="475569"/>
          <w:sz w:val="24"/>
        </w:rPr>
        <w:t>Resumo executivo atualizado com base no planejamento revisado e no deck mais recente.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0F2FE"/>
          </w:tcPr>
          <w:p>
            <w:r/>
            <w:r>
              <w:rPr>
                <w:rFonts w:ascii="Aptos" w:hAnsi="Aptos"/>
                <w:b/>
                <w:color w:val="0C4A6E"/>
                <w:sz w:val="23"/>
              </w:rPr>
              <w:t>Mensagem-chave: a operação continua baseada em 06 produtos, mas a modelagem financeira efetiva permanece concentrada em 03 produtos ativados. O restante segue como upside a estruturar.</w:t>
            </w:r>
          </w:p>
        </w:tc>
      </w:tr>
    </w:tbl>
    <w:p>
      <w:r>
        <w:br w:type="page"/>
      </w:r>
    </w:p>
    <w:p>
      <w:r>
        <w:rPr>
          <w:rFonts w:ascii="Aptos" w:hAnsi="Aptos"/>
          <w:b/>
          <w:color w:val="0B1324"/>
          <w:sz w:val="36"/>
        </w:rPr>
        <w:t>1. A empresa</w:t>
      </w:r>
    </w:p>
    <w:p>
      <w:r>
        <w:rPr>
          <w:rFonts w:ascii="Aptos" w:hAnsi="Aptos"/>
          <w:color w:val="1E293B"/>
          <w:sz w:val="22"/>
        </w:rPr>
        <w:t>O relatório apresenta um núcleo societário composto por 03 sócios, com liderança executiva centralizada no CEO César Lisboa para condução estratégica e tomada de decisão. A leitura geral é de um grupo orientado a resultado, tecnologia, aprendizado contínuo e segurança na execução.</w:t>
      </w:r>
    </w:p>
    <w:p>
      <w:pPr>
        <w:ind w:left="288"/>
      </w:pPr>
      <w:r>
        <w:rPr>
          <w:rFonts w:ascii="Aptos" w:hAnsi="Aptos"/>
          <w:color w:val="334155"/>
          <w:sz w:val="22"/>
        </w:rPr>
        <w:t>• Valores explicitados: respeito aos valores do negócio, segurança do investimento/operação e prioridade ao longo prazo.</w:t>
      </w:r>
    </w:p>
    <w:p>
      <w:pPr>
        <w:ind w:left="288"/>
      </w:pPr>
      <w:r>
        <w:rPr>
          <w:rFonts w:ascii="Aptos" w:hAnsi="Aptos"/>
          <w:color w:val="334155"/>
          <w:sz w:val="22"/>
        </w:rPr>
        <w:t>• Objetivos financeiros-base: payback estimado em até 18 meses, capital 100% próprio e execução em etapas acompanhando a evolução das vendas.</w:t>
      </w:r>
    </w:p>
    <w:p>
      <w:r>
        <w:rPr>
          <w:rFonts w:ascii="Aptos" w:hAnsi="Aptos"/>
          <w:b/>
          <w:color w:val="0B1324"/>
          <w:sz w:val="36"/>
        </w:rPr>
        <w:t>2. Produtos ativados: visão detalhada</w:t>
      </w:r>
    </w:p>
    <w:p>
      <w:r>
        <w:rPr>
          <w:rFonts w:ascii="Aptos" w:hAnsi="Aptos"/>
          <w:color w:val="1E293B"/>
          <w:sz w:val="22"/>
        </w:rPr>
        <w:t>Abaixo, o detalhamento dos 03 produtos efetivamente modelados no plano atual.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fill="0B1324"/>
          </w:tcPr>
          <w:p>
            <w:r/>
            <w:r>
              <w:rPr>
                <w:rFonts w:ascii="Aptos" w:hAnsi="Aptos"/>
                <w:b/>
                <w:color w:val="FFFFFF"/>
                <w:sz w:val="21"/>
              </w:rPr>
              <w:t>Produto</w:t>
            </w:r>
          </w:p>
        </w:tc>
        <w:tc>
          <w:tcPr>
            <w:tcW w:type="dxa" w:w="1481"/>
            <w:shd w:fill="0B1324"/>
          </w:tcPr>
          <w:p>
            <w:r/>
            <w:r>
              <w:rPr>
                <w:rFonts w:ascii="Aptos" w:hAnsi="Aptos"/>
                <w:b/>
                <w:color w:val="FFFFFF"/>
                <w:sz w:val="21"/>
              </w:rPr>
              <w:t>Status</w:t>
            </w:r>
          </w:p>
        </w:tc>
        <w:tc>
          <w:tcPr>
            <w:tcW w:type="dxa" w:w="1481"/>
            <w:shd w:fill="0B1324"/>
          </w:tcPr>
          <w:p>
            <w:r/>
            <w:r>
              <w:rPr>
                <w:rFonts w:ascii="Aptos" w:hAnsi="Aptos"/>
                <w:b/>
                <w:color w:val="FFFFFF"/>
                <w:sz w:val="21"/>
              </w:rPr>
              <w:t>Qtd. vendida pós-ramp-up</w:t>
            </w:r>
          </w:p>
        </w:tc>
        <w:tc>
          <w:tcPr>
            <w:tcW w:type="dxa" w:w="1481"/>
            <w:shd w:fill="0B1324"/>
          </w:tcPr>
          <w:p>
            <w:r/>
            <w:r>
              <w:rPr>
                <w:rFonts w:ascii="Aptos" w:hAnsi="Aptos"/>
                <w:b/>
                <w:color w:val="FFFFFF"/>
                <w:sz w:val="21"/>
              </w:rPr>
              <w:t>Valor unitário</w:t>
            </w:r>
          </w:p>
        </w:tc>
        <w:tc>
          <w:tcPr>
            <w:tcW w:type="dxa" w:w="1481"/>
            <w:shd w:fill="0B1324"/>
          </w:tcPr>
          <w:p>
            <w:r/>
            <w:r>
              <w:rPr>
                <w:rFonts w:ascii="Aptos" w:hAnsi="Aptos"/>
                <w:b/>
                <w:color w:val="FFFFFF"/>
                <w:sz w:val="21"/>
              </w:rPr>
              <w:t>MC %</w:t>
            </w:r>
          </w:p>
        </w:tc>
        <w:tc>
          <w:tcPr>
            <w:tcW w:type="dxa" w:w="1481"/>
            <w:shd w:fill="0B1324"/>
          </w:tcPr>
          <w:p>
            <w:r/>
            <w:r>
              <w:rPr>
                <w:rFonts w:ascii="Aptos" w:hAnsi="Aptos"/>
                <w:b/>
                <w:color w:val="FFFFFF"/>
                <w:sz w:val="21"/>
              </w:rPr>
              <w:t>MC unitária</w:t>
            </w:r>
          </w:p>
        </w:tc>
        <w:tc>
          <w:tcPr>
            <w:tcW w:type="dxa" w:w="1481"/>
            <w:shd w:fill="0B1324"/>
          </w:tcPr>
          <w:p>
            <w:r/>
            <w:r>
              <w:rPr>
                <w:rFonts w:ascii="Aptos" w:hAnsi="Aptos"/>
                <w:b/>
                <w:color w:val="FFFFFF"/>
                <w:sz w:val="21"/>
              </w:rPr>
              <w:t>MC total</w:t>
            </w:r>
          </w:p>
        </w:tc>
      </w:tr>
      <w:tr>
        <w:tc>
          <w:tcPr>
            <w:tcW w:type="dxa" w:w="1481"/>
          </w:tcPr>
          <w:p>
            <w:r/>
            <w:r>
              <w:rPr>
                <w:rFonts w:ascii="Aptos" w:hAnsi="Aptos"/>
                <w:b w:val="0"/>
                <w:color w:val="0F172A"/>
                <w:sz w:val="21"/>
              </w:rPr>
              <w:t>Kit / equipamento principal</w:t>
            </w:r>
          </w:p>
        </w:tc>
        <w:tc>
          <w:tcPr>
            <w:tcW w:type="dxa" w:w="1481"/>
          </w:tcPr>
          <w:p>
            <w:r/>
            <w:r>
              <w:rPr>
                <w:rFonts w:ascii="Aptos" w:hAnsi="Aptos"/>
                <w:b/>
                <w:color w:val="059669"/>
                <w:sz w:val="21"/>
              </w:rPr>
              <w:t>Ativado</w:t>
            </w:r>
          </w:p>
        </w:tc>
        <w:tc>
          <w:tcPr>
            <w:tcW w:type="dxa" w:w="1481"/>
          </w:tcPr>
          <w:p>
            <w:r/>
            <w:r>
              <w:rPr>
                <w:rFonts w:ascii="Aptos" w:hAnsi="Aptos"/>
                <w:b/>
                <w:color w:val="0F172A"/>
                <w:sz w:val="21"/>
              </w:rPr>
              <w:t>300</w:t>
            </w:r>
          </w:p>
        </w:tc>
        <w:tc>
          <w:tcPr>
            <w:tcW w:type="dxa" w:w="1481"/>
          </w:tcPr>
          <w:p>
            <w:r/>
            <w:r>
              <w:rPr>
                <w:rFonts w:ascii="Aptos" w:hAnsi="Aptos"/>
                <w:b w:val="0"/>
                <w:color w:val="0F172A"/>
                <w:sz w:val="21"/>
              </w:rPr>
              <w:t>R$ 80.000</w:t>
            </w:r>
          </w:p>
        </w:tc>
        <w:tc>
          <w:tcPr>
            <w:tcW w:type="dxa" w:w="1481"/>
          </w:tcPr>
          <w:p>
            <w:r/>
            <w:r>
              <w:rPr>
                <w:rFonts w:ascii="Aptos" w:hAnsi="Aptos"/>
                <w:b w:val="0"/>
                <w:color w:val="0F172A"/>
                <w:sz w:val="21"/>
              </w:rPr>
              <w:t>33,4%</w:t>
            </w:r>
          </w:p>
        </w:tc>
        <w:tc>
          <w:tcPr>
            <w:tcW w:type="dxa" w:w="1481"/>
          </w:tcPr>
          <w:p>
            <w:r/>
            <w:r>
              <w:rPr>
                <w:rFonts w:ascii="Aptos" w:hAnsi="Aptos"/>
                <w:b w:val="0"/>
                <w:color w:val="0F172A"/>
                <w:sz w:val="21"/>
              </w:rPr>
              <w:t>R$ 26.736</w:t>
            </w:r>
          </w:p>
        </w:tc>
        <w:tc>
          <w:tcPr>
            <w:tcW w:type="dxa" w:w="1481"/>
          </w:tcPr>
          <w:p>
            <w:r/>
            <w:r>
              <w:rPr>
                <w:rFonts w:ascii="Aptos" w:hAnsi="Aptos"/>
                <w:b/>
                <w:color w:val="0F172A"/>
                <w:sz w:val="21"/>
              </w:rPr>
              <w:t>R$ 8.020.800</w:t>
            </w:r>
          </w:p>
        </w:tc>
      </w:tr>
      <w:tr>
        <w:tc>
          <w:tcPr>
            <w:tcW w:type="dxa" w:w="1481"/>
          </w:tcPr>
          <w:p>
            <w:r/>
            <w:r>
              <w:rPr>
                <w:rFonts w:ascii="Aptos" w:hAnsi="Aptos"/>
                <w:b w:val="0"/>
                <w:color w:val="0F172A"/>
                <w:sz w:val="21"/>
              </w:rPr>
              <w:t>Implantação / instalação</w:t>
            </w:r>
          </w:p>
        </w:tc>
        <w:tc>
          <w:tcPr>
            <w:tcW w:type="dxa" w:w="1481"/>
          </w:tcPr>
          <w:p>
            <w:r/>
            <w:r>
              <w:rPr>
                <w:rFonts w:ascii="Aptos" w:hAnsi="Aptos"/>
                <w:b/>
                <w:color w:val="059669"/>
                <w:sz w:val="21"/>
              </w:rPr>
              <w:t>Ativado</w:t>
            </w:r>
          </w:p>
        </w:tc>
        <w:tc>
          <w:tcPr>
            <w:tcW w:type="dxa" w:w="1481"/>
          </w:tcPr>
          <w:p>
            <w:r/>
            <w:r>
              <w:rPr>
                <w:rFonts w:ascii="Aptos" w:hAnsi="Aptos"/>
                <w:b/>
                <w:color w:val="0F172A"/>
                <w:sz w:val="21"/>
              </w:rPr>
              <w:t>300</w:t>
            </w:r>
          </w:p>
        </w:tc>
        <w:tc>
          <w:tcPr>
            <w:tcW w:type="dxa" w:w="1481"/>
          </w:tcPr>
          <w:p>
            <w:r/>
            <w:r>
              <w:rPr>
                <w:rFonts w:ascii="Aptos" w:hAnsi="Aptos"/>
                <w:b w:val="0"/>
                <w:color w:val="0F172A"/>
                <w:sz w:val="21"/>
              </w:rPr>
              <w:t>R$ 40.000</w:t>
            </w:r>
          </w:p>
        </w:tc>
        <w:tc>
          <w:tcPr>
            <w:tcW w:type="dxa" w:w="1481"/>
          </w:tcPr>
          <w:p>
            <w:r/>
            <w:r>
              <w:rPr>
                <w:rFonts w:ascii="Aptos" w:hAnsi="Aptos"/>
                <w:b w:val="0"/>
                <w:color w:val="0F172A"/>
                <w:sz w:val="21"/>
              </w:rPr>
              <w:t>35,3%</w:t>
            </w:r>
          </w:p>
        </w:tc>
        <w:tc>
          <w:tcPr>
            <w:tcW w:type="dxa" w:w="1481"/>
          </w:tcPr>
          <w:p>
            <w:r/>
            <w:r>
              <w:rPr>
                <w:rFonts w:ascii="Aptos" w:hAnsi="Aptos"/>
                <w:b w:val="0"/>
                <w:color w:val="0F172A"/>
                <w:sz w:val="21"/>
              </w:rPr>
              <w:t>R$ 14.120</w:t>
            </w:r>
          </w:p>
        </w:tc>
        <w:tc>
          <w:tcPr>
            <w:tcW w:type="dxa" w:w="1481"/>
          </w:tcPr>
          <w:p>
            <w:r/>
            <w:r>
              <w:rPr>
                <w:rFonts w:ascii="Aptos" w:hAnsi="Aptos"/>
                <w:b/>
                <w:color w:val="0F172A"/>
                <w:sz w:val="21"/>
              </w:rPr>
              <w:t>R$ 4.236.000</w:t>
            </w:r>
          </w:p>
        </w:tc>
      </w:tr>
      <w:tr>
        <w:tc>
          <w:tcPr>
            <w:tcW w:type="dxa" w:w="1481"/>
          </w:tcPr>
          <w:p>
            <w:r/>
            <w:r>
              <w:rPr>
                <w:rFonts w:ascii="Aptos" w:hAnsi="Aptos"/>
                <w:b w:val="0"/>
                <w:color w:val="0F172A"/>
                <w:sz w:val="21"/>
              </w:rPr>
              <w:t>Software de gestão</w:t>
            </w:r>
          </w:p>
        </w:tc>
        <w:tc>
          <w:tcPr>
            <w:tcW w:type="dxa" w:w="1481"/>
          </w:tcPr>
          <w:p>
            <w:r/>
            <w:r>
              <w:rPr>
                <w:rFonts w:ascii="Aptos" w:hAnsi="Aptos"/>
                <w:b/>
                <w:color w:val="059669"/>
                <w:sz w:val="21"/>
              </w:rPr>
              <w:t>Ativado</w:t>
            </w:r>
          </w:p>
        </w:tc>
        <w:tc>
          <w:tcPr>
            <w:tcW w:type="dxa" w:w="1481"/>
          </w:tcPr>
          <w:p>
            <w:r/>
            <w:r>
              <w:rPr>
                <w:rFonts w:ascii="Aptos" w:hAnsi="Aptos"/>
                <w:b/>
                <w:color w:val="0F172A"/>
                <w:sz w:val="21"/>
              </w:rPr>
              <w:t>4.000</w:t>
            </w:r>
          </w:p>
        </w:tc>
        <w:tc>
          <w:tcPr>
            <w:tcW w:type="dxa" w:w="1481"/>
          </w:tcPr>
          <w:p>
            <w:r/>
            <w:r>
              <w:rPr>
                <w:rFonts w:ascii="Aptos" w:hAnsi="Aptos"/>
                <w:b w:val="0"/>
                <w:color w:val="0F172A"/>
                <w:sz w:val="21"/>
              </w:rPr>
              <w:t>R$ 1.600</w:t>
            </w:r>
          </w:p>
        </w:tc>
        <w:tc>
          <w:tcPr>
            <w:tcW w:type="dxa" w:w="1481"/>
          </w:tcPr>
          <w:p>
            <w:r/>
            <w:r>
              <w:rPr>
                <w:rFonts w:ascii="Aptos" w:hAnsi="Aptos"/>
                <w:b w:val="0"/>
                <w:color w:val="0F172A"/>
                <w:sz w:val="21"/>
              </w:rPr>
              <w:t>70,0%</w:t>
            </w:r>
          </w:p>
        </w:tc>
        <w:tc>
          <w:tcPr>
            <w:tcW w:type="dxa" w:w="1481"/>
          </w:tcPr>
          <w:p>
            <w:r/>
            <w:r>
              <w:rPr>
                <w:rFonts w:ascii="Aptos" w:hAnsi="Aptos"/>
                <w:b w:val="0"/>
                <w:color w:val="0F172A"/>
                <w:sz w:val="21"/>
              </w:rPr>
              <w:t>R$ 1.120</w:t>
            </w:r>
          </w:p>
        </w:tc>
        <w:tc>
          <w:tcPr>
            <w:tcW w:type="dxa" w:w="1481"/>
          </w:tcPr>
          <w:p>
            <w:r/>
            <w:r>
              <w:rPr>
                <w:rFonts w:ascii="Aptos" w:hAnsi="Aptos"/>
                <w:b/>
                <w:color w:val="0F172A"/>
                <w:sz w:val="21"/>
              </w:rPr>
              <w:t>R$ 4.480.000</w:t>
            </w:r>
          </w:p>
        </w:tc>
      </w:tr>
    </w:tbl>
    <w:p>
      <w:pPr>
        <w:ind w:left="288"/>
      </w:pPr>
      <w:r>
        <w:rPr>
          <w:rFonts w:ascii="Aptos" w:hAnsi="Aptos"/>
          <w:color w:val="334155"/>
          <w:sz w:val="22"/>
        </w:rPr>
        <w:t>• Faturamento anual pós-ramp-up dos ativados: R$ 42.400.000.</w:t>
      </w:r>
    </w:p>
    <w:p>
      <w:pPr>
        <w:ind w:left="288"/>
      </w:pPr>
      <w:r>
        <w:rPr>
          <w:rFonts w:ascii="Aptos" w:hAnsi="Aptos"/>
          <w:color w:val="334155"/>
          <w:sz w:val="22"/>
        </w:rPr>
        <w:t>• Margem de contribuição total anual dos ativados: R$ 16.736.800.</w:t>
      </w:r>
    </w:p>
    <w:p>
      <w:r>
        <w:rPr>
          <w:rFonts w:ascii="Aptos" w:hAnsi="Aptos"/>
          <w:b/>
          <w:color w:val="0B1324"/>
          <w:sz w:val="36"/>
        </w:rPr>
        <w:t>3. Produtos a ativar: espaço de upside</w:t>
      </w:r>
    </w:p>
    <w:p>
      <w:r>
        <w:rPr>
          <w:rFonts w:ascii="Aptos" w:hAnsi="Aptos"/>
          <w:color w:val="1E293B"/>
          <w:sz w:val="22"/>
        </w:rPr>
        <w:t>Os produtos abaixo ainda não possuem quantidade, preço e margem fechados no planejamento atual, por isso não entram na modelagem-base.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fill="0B1324"/>
          </w:tcPr>
          <w:p>
            <w:r/>
            <w:r>
              <w:rPr>
                <w:rFonts w:ascii="Aptos" w:hAnsi="Aptos"/>
                <w:b/>
                <w:color w:val="FFFFFF"/>
                <w:sz w:val="21"/>
              </w:rPr>
              <w:t>Produto</w:t>
            </w:r>
          </w:p>
        </w:tc>
        <w:tc>
          <w:tcPr>
            <w:tcW w:type="dxa" w:w="1481"/>
            <w:shd w:fill="0B1324"/>
          </w:tcPr>
          <w:p>
            <w:r/>
            <w:r>
              <w:rPr>
                <w:rFonts w:ascii="Aptos" w:hAnsi="Aptos"/>
                <w:b/>
                <w:color w:val="FFFFFF"/>
                <w:sz w:val="21"/>
              </w:rPr>
              <w:t>Status</w:t>
            </w:r>
          </w:p>
        </w:tc>
        <w:tc>
          <w:tcPr>
            <w:tcW w:type="dxa" w:w="1481"/>
            <w:shd w:fill="0B1324"/>
          </w:tcPr>
          <w:p>
            <w:r/>
            <w:r>
              <w:rPr>
                <w:rFonts w:ascii="Aptos" w:hAnsi="Aptos"/>
                <w:b/>
                <w:color w:val="FFFFFF"/>
                <w:sz w:val="21"/>
              </w:rPr>
              <w:t>Qtd. vendida pós-ramp-up</w:t>
            </w:r>
          </w:p>
        </w:tc>
        <w:tc>
          <w:tcPr>
            <w:tcW w:type="dxa" w:w="1481"/>
            <w:shd w:fill="0B1324"/>
          </w:tcPr>
          <w:p>
            <w:r/>
            <w:r>
              <w:rPr>
                <w:rFonts w:ascii="Aptos" w:hAnsi="Aptos"/>
                <w:b/>
                <w:color w:val="FFFFFF"/>
                <w:sz w:val="21"/>
              </w:rPr>
              <w:t>Valor unitário</w:t>
            </w:r>
          </w:p>
        </w:tc>
        <w:tc>
          <w:tcPr>
            <w:tcW w:type="dxa" w:w="1481"/>
            <w:shd w:fill="0B1324"/>
          </w:tcPr>
          <w:p>
            <w:r/>
            <w:r>
              <w:rPr>
                <w:rFonts w:ascii="Aptos" w:hAnsi="Aptos"/>
                <w:b/>
                <w:color w:val="FFFFFF"/>
                <w:sz w:val="21"/>
              </w:rPr>
              <w:t>MC %</w:t>
            </w:r>
          </w:p>
        </w:tc>
        <w:tc>
          <w:tcPr>
            <w:tcW w:type="dxa" w:w="1481"/>
            <w:shd w:fill="0B1324"/>
          </w:tcPr>
          <w:p>
            <w:r/>
            <w:r>
              <w:rPr>
                <w:rFonts w:ascii="Aptos" w:hAnsi="Aptos"/>
                <w:b/>
                <w:color w:val="FFFFFF"/>
                <w:sz w:val="21"/>
              </w:rPr>
              <w:t>MC unitária</w:t>
            </w:r>
          </w:p>
        </w:tc>
        <w:tc>
          <w:tcPr>
            <w:tcW w:type="dxa" w:w="1481"/>
            <w:shd w:fill="0B1324"/>
          </w:tcPr>
          <w:p>
            <w:r/>
            <w:r>
              <w:rPr>
                <w:rFonts w:ascii="Aptos" w:hAnsi="Aptos"/>
                <w:b/>
                <w:color w:val="FFFFFF"/>
                <w:sz w:val="21"/>
              </w:rPr>
              <w:t>MC total</w:t>
            </w:r>
          </w:p>
        </w:tc>
      </w:tr>
      <w:tr>
        <w:tc>
          <w:tcPr>
            <w:tcW w:type="dxa" w:w="1481"/>
          </w:tcPr>
          <w:p>
            <w:r/>
            <w:r>
              <w:rPr>
                <w:rFonts w:ascii="Aptos" w:hAnsi="Aptos"/>
                <w:b w:val="0"/>
                <w:color w:val="0F172A"/>
                <w:sz w:val="21"/>
              </w:rPr>
              <w:t>Estudo de viabilidade / assessoria</w:t>
            </w:r>
          </w:p>
        </w:tc>
        <w:tc>
          <w:tcPr>
            <w:tcW w:type="dxa" w:w="1481"/>
          </w:tcPr>
          <w:p>
            <w:r/>
            <w:r>
              <w:rPr>
                <w:rFonts w:ascii="Aptos" w:hAnsi="Aptos"/>
                <w:b/>
                <w:color w:val="D97706"/>
                <w:sz w:val="21"/>
              </w:rPr>
              <w:t>A ativar</w:t>
            </w:r>
          </w:p>
        </w:tc>
        <w:tc>
          <w:tcPr>
            <w:tcW w:type="dxa" w:w="1481"/>
          </w:tcPr>
          <w:p>
            <w:r/>
            <w:r>
              <w:rPr>
                <w:rFonts w:ascii="Aptos" w:hAnsi="Aptos"/>
                <w:b w:val="0"/>
                <w:color w:val="475569"/>
                <w:sz w:val="21"/>
              </w:rPr>
              <w:t>A estruturar</w:t>
            </w:r>
          </w:p>
        </w:tc>
        <w:tc>
          <w:tcPr>
            <w:tcW w:type="dxa" w:w="1481"/>
          </w:tcPr>
          <w:p>
            <w:r/>
            <w:r>
              <w:rPr>
                <w:rFonts w:ascii="Aptos" w:hAnsi="Aptos"/>
                <w:b w:val="0"/>
                <w:color w:val="475569"/>
                <w:sz w:val="21"/>
              </w:rPr>
              <w:t>A estruturar</w:t>
            </w:r>
          </w:p>
        </w:tc>
        <w:tc>
          <w:tcPr>
            <w:tcW w:type="dxa" w:w="1481"/>
          </w:tcPr>
          <w:p>
            <w:r/>
            <w:r>
              <w:rPr>
                <w:rFonts w:ascii="Aptos" w:hAnsi="Aptos"/>
                <w:b w:val="0"/>
                <w:color w:val="0F172A"/>
                <w:sz w:val="21"/>
              </w:rPr>
              <w:t>-</w:t>
            </w:r>
          </w:p>
        </w:tc>
        <w:tc>
          <w:tcPr>
            <w:tcW w:type="dxa" w:w="1481"/>
          </w:tcPr>
          <w:p>
            <w:r/>
            <w:r>
              <w:rPr>
                <w:rFonts w:ascii="Aptos" w:hAnsi="Aptos"/>
                <w:b w:val="0"/>
                <w:color w:val="0F172A"/>
                <w:sz w:val="21"/>
              </w:rPr>
              <w:t>-</w:t>
            </w:r>
          </w:p>
        </w:tc>
        <w:tc>
          <w:tcPr>
            <w:tcW w:type="dxa" w:w="1481"/>
          </w:tcPr>
          <w:p>
            <w:r/>
            <w:r>
              <w:rPr>
                <w:rFonts w:ascii="Aptos" w:hAnsi="Aptos"/>
                <w:b w:val="0"/>
                <w:color w:val="0F172A"/>
                <w:sz w:val="21"/>
              </w:rPr>
              <w:t>-</w:t>
            </w:r>
          </w:p>
        </w:tc>
      </w:tr>
      <w:tr>
        <w:tc>
          <w:tcPr>
            <w:tcW w:type="dxa" w:w="1481"/>
          </w:tcPr>
          <w:p>
            <w:r/>
            <w:r>
              <w:rPr>
                <w:rFonts w:ascii="Aptos" w:hAnsi="Aptos"/>
                <w:b w:val="0"/>
                <w:color w:val="0F172A"/>
                <w:sz w:val="21"/>
              </w:rPr>
              <w:t>Peças e upgrades</w:t>
            </w:r>
          </w:p>
        </w:tc>
        <w:tc>
          <w:tcPr>
            <w:tcW w:type="dxa" w:w="1481"/>
          </w:tcPr>
          <w:p>
            <w:r/>
            <w:r>
              <w:rPr>
                <w:rFonts w:ascii="Aptos" w:hAnsi="Aptos"/>
                <w:b/>
                <w:color w:val="D97706"/>
                <w:sz w:val="21"/>
              </w:rPr>
              <w:t>A ativar</w:t>
            </w:r>
          </w:p>
        </w:tc>
        <w:tc>
          <w:tcPr>
            <w:tcW w:type="dxa" w:w="1481"/>
          </w:tcPr>
          <w:p>
            <w:r/>
            <w:r>
              <w:rPr>
                <w:rFonts w:ascii="Aptos" w:hAnsi="Aptos"/>
                <w:b w:val="0"/>
                <w:color w:val="475569"/>
                <w:sz w:val="21"/>
              </w:rPr>
              <w:t>A estruturar</w:t>
            </w:r>
          </w:p>
        </w:tc>
        <w:tc>
          <w:tcPr>
            <w:tcW w:type="dxa" w:w="1481"/>
          </w:tcPr>
          <w:p>
            <w:r/>
            <w:r>
              <w:rPr>
                <w:rFonts w:ascii="Aptos" w:hAnsi="Aptos"/>
                <w:b w:val="0"/>
                <w:color w:val="475569"/>
                <w:sz w:val="21"/>
              </w:rPr>
              <w:t>A estruturar</w:t>
            </w:r>
          </w:p>
        </w:tc>
        <w:tc>
          <w:tcPr>
            <w:tcW w:type="dxa" w:w="1481"/>
          </w:tcPr>
          <w:p>
            <w:r/>
            <w:r>
              <w:rPr>
                <w:rFonts w:ascii="Aptos" w:hAnsi="Aptos"/>
                <w:b w:val="0"/>
                <w:color w:val="0F172A"/>
                <w:sz w:val="21"/>
              </w:rPr>
              <w:t>-</w:t>
            </w:r>
          </w:p>
        </w:tc>
        <w:tc>
          <w:tcPr>
            <w:tcW w:type="dxa" w:w="1481"/>
          </w:tcPr>
          <w:p>
            <w:r/>
            <w:r>
              <w:rPr>
                <w:rFonts w:ascii="Aptos" w:hAnsi="Aptos"/>
                <w:b w:val="0"/>
                <w:color w:val="0F172A"/>
                <w:sz w:val="21"/>
              </w:rPr>
              <w:t>-</w:t>
            </w:r>
          </w:p>
        </w:tc>
        <w:tc>
          <w:tcPr>
            <w:tcW w:type="dxa" w:w="1481"/>
          </w:tcPr>
          <w:p>
            <w:r/>
            <w:r>
              <w:rPr>
                <w:rFonts w:ascii="Aptos" w:hAnsi="Aptos"/>
                <w:b w:val="0"/>
                <w:color w:val="0F172A"/>
                <w:sz w:val="21"/>
              </w:rPr>
              <w:t>-</w:t>
            </w:r>
          </w:p>
        </w:tc>
      </w:tr>
      <w:tr>
        <w:tc>
          <w:tcPr>
            <w:tcW w:type="dxa" w:w="1481"/>
          </w:tcPr>
          <w:p>
            <w:r/>
            <w:r>
              <w:rPr>
                <w:rFonts w:ascii="Aptos" w:hAnsi="Aptos"/>
                <w:b w:val="0"/>
                <w:color w:val="0F172A"/>
                <w:sz w:val="21"/>
              </w:rPr>
              <w:t>Manutenção especializada</w:t>
            </w:r>
          </w:p>
        </w:tc>
        <w:tc>
          <w:tcPr>
            <w:tcW w:type="dxa" w:w="1481"/>
          </w:tcPr>
          <w:p>
            <w:r/>
            <w:r>
              <w:rPr>
                <w:rFonts w:ascii="Aptos" w:hAnsi="Aptos"/>
                <w:b/>
                <w:color w:val="D97706"/>
                <w:sz w:val="21"/>
              </w:rPr>
              <w:t>A ativar</w:t>
            </w:r>
          </w:p>
        </w:tc>
        <w:tc>
          <w:tcPr>
            <w:tcW w:type="dxa" w:w="1481"/>
          </w:tcPr>
          <w:p>
            <w:r/>
            <w:r>
              <w:rPr>
                <w:rFonts w:ascii="Aptos" w:hAnsi="Aptos"/>
                <w:b w:val="0"/>
                <w:color w:val="475569"/>
                <w:sz w:val="21"/>
              </w:rPr>
              <w:t>A estruturar</w:t>
            </w:r>
          </w:p>
        </w:tc>
        <w:tc>
          <w:tcPr>
            <w:tcW w:type="dxa" w:w="1481"/>
          </w:tcPr>
          <w:p>
            <w:r/>
            <w:r>
              <w:rPr>
                <w:rFonts w:ascii="Aptos" w:hAnsi="Aptos"/>
                <w:b w:val="0"/>
                <w:color w:val="475569"/>
                <w:sz w:val="21"/>
              </w:rPr>
              <w:t>A estruturar</w:t>
            </w:r>
          </w:p>
        </w:tc>
        <w:tc>
          <w:tcPr>
            <w:tcW w:type="dxa" w:w="1481"/>
          </w:tcPr>
          <w:p>
            <w:r/>
            <w:r>
              <w:rPr>
                <w:rFonts w:ascii="Aptos" w:hAnsi="Aptos"/>
                <w:b w:val="0"/>
                <w:color w:val="0F172A"/>
                <w:sz w:val="21"/>
              </w:rPr>
              <w:t>-</w:t>
            </w:r>
          </w:p>
        </w:tc>
        <w:tc>
          <w:tcPr>
            <w:tcW w:type="dxa" w:w="1481"/>
          </w:tcPr>
          <w:p>
            <w:r/>
            <w:r>
              <w:rPr>
                <w:rFonts w:ascii="Aptos" w:hAnsi="Aptos"/>
                <w:b w:val="0"/>
                <w:color w:val="0F172A"/>
                <w:sz w:val="21"/>
              </w:rPr>
              <w:t>-</w:t>
            </w:r>
          </w:p>
        </w:tc>
        <w:tc>
          <w:tcPr>
            <w:tcW w:type="dxa" w:w="1481"/>
          </w:tcPr>
          <w:p>
            <w:r/>
            <w:r>
              <w:rPr>
                <w:rFonts w:ascii="Aptos" w:hAnsi="Aptos"/>
                <w:b w:val="0"/>
                <w:color w:val="0F172A"/>
                <w:sz w:val="21"/>
              </w:rPr>
              <w:t>-</w:t>
            </w:r>
          </w:p>
        </w:tc>
      </w:tr>
    </w:tbl>
    <w:p>
      <w:pPr>
        <w:ind w:left="288"/>
      </w:pPr>
      <w:r>
        <w:rPr>
          <w:rFonts w:ascii="Aptos" w:hAnsi="Aptos"/>
          <w:color w:val="334155"/>
          <w:sz w:val="22"/>
        </w:rPr>
        <w:t>• Esses produtos ainda não entraram na conta atual.</w:t>
      </w:r>
    </w:p>
    <w:p>
      <w:pPr>
        <w:ind w:left="288"/>
      </w:pPr>
      <w:r>
        <w:rPr>
          <w:rFonts w:ascii="Aptos" w:hAnsi="Aptos"/>
          <w:color w:val="334155"/>
          <w:sz w:val="22"/>
        </w:rPr>
        <w:t>• Portanto, o resultado-base segue conservador.</w:t>
      </w:r>
    </w:p>
    <w:p>
      <w:pPr>
        <w:ind w:left="288"/>
      </w:pPr>
      <w:r>
        <w:rPr>
          <w:rFonts w:ascii="Aptos" w:hAnsi="Aptos"/>
          <w:color w:val="334155"/>
          <w:sz w:val="22"/>
        </w:rPr>
        <w:t>• O upside depende da ativação organizada desse segundo bloco do portfólio.</w:t>
      </w:r>
    </w:p>
    <w:p>
      <w:r>
        <w:rPr>
          <w:rFonts w:ascii="Aptos" w:hAnsi="Aptos"/>
          <w:b/>
          <w:color w:val="0B1324"/>
          <w:sz w:val="36"/>
        </w:rPr>
        <w:t>4. Demanda do mercado / market share</w:t>
      </w:r>
    </w:p>
    <w:p>
      <w:r>
        <w:rPr>
          <w:rFonts w:ascii="Aptos" w:hAnsi="Aptos"/>
          <w:color w:val="1E293B"/>
          <w:sz w:val="22"/>
        </w:rPr>
        <w:t>Premissa adotada para este material: mercado Brasil com 5.000 kits e 5.000 instalações vendidos por mês, durante todo o período do estudo (60 meses).</w:t>
      </w:r>
    </w:p>
    <w:p>
      <w:pPr>
        <w:ind w:left="288"/>
      </w:pPr>
      <w:r>
        <w:rPr>
          <w:rFonts w:ascii="Aptos" w:hAnsi="Aptos"/>
          <w:color w:val="334155"/>
          <w:sz w:val="22"/>
        </w:rPr>
        <w:t>• Mercado anual Brasil (proxy por receita): R$ 7.200.000.000.</w:t>
      </w:r>
    </w:p>
    <w:p>
      <w:pPr>
        <w:ind w:left="288"/>
      </w:pPr>
      <w:r>
        <w:rPr>
          <w:rFonts w:ascii="Aptos" w:hAnsi="Aptos"/>
          <w:color w:val="334155"/>
          <w:sz w:val="22"/>
        </w:rPr>
        <w:t>• Mercado total do estudo (60 meses): R$ 36.000.000.000.</w:t>
      </w:r>
    </w:p>
    <w:p>
      <w:pPr>
        <w:ind w:left="288"/>
      </w:pPr>
      <w:r>
        <w:rPr>
          <w:rFonts w:ascii="Aptos" w:hAnsi="Aptos"/>
          <w:color w:val="334155"/>
          <w:sz w:val="22"/>
        </w:rPr>
        <w:t>• Share do plano por receita anual: 0,6%.</w:t>
      </w:r>
    </w:p>
    <w:p>
      <w:pPr>
        <w:ind w:left="288"/>
      </w:pPr>
      <w:r>
        <w:rPr>
          <w:rFonts w:ascii="Aptos" w:hAnsi="Aptos"/>
          <w:color w:val="334155"/>
          <w:sz w:val="22"/>
        </w:rPr>
        <w:t>• Kits: 300 unidades sobre 300.000 kits no estudo = 0.1%,</w:t>
      </w:r>
    </w:p>
    <w:p>
      <w:pPr>
        <w:ind w:left="288"/>
      </w:pPr>
      <w:r>
        <w:rPr>
          <w:rFonts w:ascii="Aptos" w:hAnsi="Aptos"/>
          <w:color w:val="334155"/>
          <w:sz w:val="22"/>
        </w:rPr>
        <w:t>• Instalações: 300 unidades sobre 300.000 instalações no estudo = 0.1%,</w:t>
      </w:r>
    </w:p>
    <w:p>
      <w:r>
        <w:rPr>
          <w:rFonts w:ascii="Aptos" w:hAnsi="Aptos"/>
          <w:b/>
          <w:color w:val="0B1324"/>
          <w:sz w:val="36"/>
        </w:rPr>
        <w:t>5. Estrutura: Comercial, Operacional e Adm-Fin</w:t>
      </w:r>
    </w:p>
    <w:p>
      <w:r>
        <w:rPr>
          <w:rFonts w:ascii="Aptos" w:hAnsi="Aptos"/>
          <w:color w:val="1E293B"/>
          <w:sz w:val="22"/>
        </w:rPr>
        <w:t>As páginas de estrutura do relatório apontam R$ 723,5 mil de setup resumido por frentes e um total mensal de custos/despesas fixas de R$ 249 mil. Para efeito de apresentação, o custo fixo mensal foi rateado proporcionalmente entre as frentes.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B1324"/>
          </w:tcPr>
          <w:p>
            <w:r/>
            <w:r>
              <w:rPr>
                <w:rFonts w:ascii="Aptos" w:hAnsi="Aptos"/>
                <w:b/>
                <w:color w:val="FFFFFF"/>
                <w:sz w:val="21"/>
              </w:rPr>
              <w:t>Estrutura</w:t>
            </w:r>
          </w:p>
        </w:tc>
        <w:tc>
          <w:tcPr>
            <w:tcW w:type="dxa" w:w="2592"/>
            <w:shd w:fill="0B1324"/>
          </w:tcPr>
          <w:p>
            <w:r/>
            <w:r>
              <w:rPr>
                <w:rFonts w:ascii="Aptos" w:hAnsi="Aptos"/>
                <w:b/>
                <w:color w:val="FFFFFF"/>
                <w:sz w:val="21"/>
              </w:rPr>
              <w:t>Setup</w:t>
            </w:r>
          </w:p>
        </w:tc>
        <w:tc>
          <w:tcPr>
            <w:tcW w:type="dxa" w:w="2592"/>
            <w:shd w:fill="0B1324"/>
          </w:tcPr>
          <w:p>
            <w:r/>
            <w:r>
              <w:rPr>
                <w:rFonts w:ascii="Aptos" w:hAnsi="Aptos"/>
                <w:b/>
                <w:color w:val="FFFFFF"/>
                <w:sz w:val="21"/>
              </w:rPr>
              <w:t>Custo fixo mensal (rateio)</w:t>
            </w:r>
          </w:p>
        </w:tc>
        <w:tc>
          <w:tcPr>
            <w:tcW w:type="dxa" w:w="2592"/>
            <w:shd w:fill="0B1324"/>
          </w:tcPr>
          <w:p>
            <w:r/>
            <w:r>
              <w:rPr>
                <w:rFonts w:ascii="Aptos" w:hAnsi="Aptos"/>
                <w:b/>
                <w:color w:val="FFFFFF"/>
                <w:sz w:val="21"/>
              </w:rPr>
              <w:t>Leitura resumida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ptos" w:hAnsi="Aptos"/>
                <w:b/>
                <w:color w:val="0F172A"/>
                <w:sz w:val="21"/>
              </w:rPr>
              <w:t>Comercial</w:t>
            </w:r>
          </w:p>
        </w:tc>
        <w:tc>
          <w:tcPr>
            <w:tcW w:type="dxa" w:w="2592"/>
          </w:tcPr>
          <w:p>
            <w:r/>
            <w:r>
              <w:rPr>
                <w:rFonts w:ascii="Aptos" w:hAnsi="Aptos"/>
                <w:b w:val="0"/>
                <w:color w:val="0F172A"/>
                <w:sz w:val="21"/>
              </w:rPr>
              <w:t>R$ 340.000</w:t>
            </w:r>
          </w:p>
        </w:tc>
        <w:tc>
          <w:tcPr>
            <w:tcW w:type="dxa" w:w="2592"/>
          </w:tcPr>
          <w:p>
            <w:r/>
            <w:r>
              <w:rPr>
                <w:rFonts w:ascii="Aptos" w:hAnsi="Aptos"/>
                <w:b w:val="0"/>
                <w:color w:val="0F172A"/>
                <w:sz w:val="21"/>
              </w:rPr>
              <w:t>R$ 117.083</w:t>
            </w:r>
          </w:p>
        </w:tc>
        <w:tc>
          <w:tcPr>
            <w:tcW w:type="dxa" w:w="2592"/>
          </w:tcPr>
          <w:p>
            <w:r/>
            <w:r>
              <w:rPr>
                <w:rFonts w:ascii="Aptos" w:hAnsi="Aptos"/>
                <w:b w:val="0"/>
                <w:color w:val="475569"/>
                <w:sz w:val="21"/>
              </w:rPr>
              <w:t>Prospecção, vendas e ativação de receita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ptos" w:hAnsi="Aptos"/>
                <w:b/>
                <w:color w:val="0F172A"/>
                <w:sz w:val="21"/>
              </w:rPr>
              <w:t>Operacional</w:t>
            </w:r>
          </w:p>
        </w:tc>
        <w:tc>
          <w:tcPr>
            <w:tcW w:type="dxa" w:w="2592"/>
          </w:tcPr>
          <w:p>
            <w:r/>
            <w:r>
              <w:rPr>
                <w:rFonts w:ascii="Aptos" w:hAnsi="Aptos"/>
                <w:b w:val="0"/>
                <w:color w:val="0F172A"/>
                <w:sz w:val="21"/>
              </w:rPr>
              <w:t>R$ 331.000</w:t>
            </w:r>
          </w:p>
        </w:tc>
        <w:tc>
          <w:tcPr>
            <w:tcW w:type="dxa" w:w="2592"/>
          </w:tcPr>
          <w:p>
            <w:r/>
            <w:r>
              <w:rPr>
                <w:rFonts w:ascii="Aptos" w:hAnsi="Aptos"/>
                <w:b w:val="0"/>
                <w:color w:val="0F172A"/>
                <w:sz w:val="21"/>
              </w:rPr>
              <w:t>R$ 113.983</w:t>
            </w:r>
          </w:p>
        </w:tc>
        <w:tc>
          <w:tcPr>
            <w:tcW w:type="dxa" w:w="2592"/>
          </w:tcPr>
          <w:p>
            <w:r/>
            <w:r>
              <w:rPr>
                <w:rFonts w:ascii="Aptos" w:hAnsi="Aptos"/>
                <w:b w:val="0"/>
                <w:color w:val="475569"/>
                <w:sz w:val="21"/>
              </w:rPr>
              <w:t>Implantação, suporte técnico e entrega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ptos" w:hAnsi="Aptos"/>
                <w:b/>
                <w:color w:val="0F172A"/>
                <w:sz w:val="21"/>
              </w:rPr>
              <w:t>Adm-Fin</w:t>
            </w:r>
          </w:p>
        </w:tc>
        <w:tc>
          <w:tcPr>
            <w:tcW w:type="dxa" w:w="2592"/>
          </w:tcPr>
          <w:p>
            <w:r/>
            <w:r>
              <w:rPr>
                <w:rFonts w:ascii="Aptos" w:hAnsi="Aptos"/>
                <w:b w:val="0"/>
                <w:color w:val="0F172A"/>
                <w:sz w:val="21"/>
              </w:rPr>
              <w:t>R$ 52.500</w:t>
            </w:r>
          </w:p>
        </w:tc>
        <w:tc>
          <w:tcPr>
            <w:tcW w:type="dxa" w:w="2592"/>
          </w:tcPr>
          <w:p>
            <w:r/>
            <w:r>
              <w:rPr>
                <w:rFonts w:ascii="Aptos" w:hAnsi="Aptos"/>
                <w:b w:val="0"/>
                <w:color w:val="0F172A"/>
                <w:sz w:val="21"/>
              </w:rPr>
              <w:t>R$ 17.934</w:t>
            </w:r>
          </w:p>
        </w:tc>
        <w:tc>
          <w:tcPr>
            <w:tcW w:type="dxa" w:w="2592"/>
          </w:tcPr>
          <w:p>
            <w:r/>
            <w:r>
              <w:rPr>
                <w:rFonts w:ascii="Aptos" w:hAnsi="Aptos"/>
                <w:b w:val="0"/>
                <w:color w:val="475569"/>
                <w:sz w:val="21"/>
              </w:rPr>
              <w:t>Backoffice, gestão financeira e administração</w:t>
            </w:r>
          </w:p>
        </w:tc>
      </w:tr>
    </w:tbl>
    <w:p>
      <w:r>
        <w:rPr>
          <w:rFonts w:ascii="Aptos" w:hAnsi="Aptos"/>
          <w:b/>
          <w:color w:val="0B1324"/>
          <w:sz w:val="36"/>
        </w:rPr>
        <w:t>6. Resultado líquido em 20%, 50% e 100% das vendas</w:t>
      </w:r>
    </w:p>
    <w:p>
      <w:r>
        <w:rPr>
          <w:rFonts w:ascii="Aptos" w:hAnsi="Aptos"/>
          <w:color w:val="1E293B"/>
          <w:sz w:val="22"/>
        </w:rPr>
        <w:t>Considerando a mesma base de custo fixo anual e a mesma relação de margem de contribuição da modelagem atual, os cenários ficam assim: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0B1324"/>
          </w:tcPr>
          <w:p>
            <w:r/>
            <w:r>
              <w:rPr>
                <w:rFonts w:ascii="Aptos" w:hAnsi="Aptos"/>
                <w:b/>
                <w:color w:val="FFFFFF"/>
                <w:sz w:val="21"/>
              </w:rPr>
              <w:t>Cenário</w:t>
            </w:r>
          </w:p>
        </w:tc>
        <w:tc>
          <w:tcPr>
            <w:tcW w:type="dxa" w:w="2074"/>
            <w:shd w:fill="0B1324"/>
          </w:tcPr>
          <w:p>
            <w:r/>
            <w:r>
              <w:rPr>
                <w:rFonts w:ascii="Aptos" w:hAnsi="Aptos"/>
                <w:b/>
                <w:color w:val="FFFFFF"/>
                <w:sz w:val="21"/>
              </w:rPr>
              <w:t>Receita anual</w:t>
            </w:r>
          </w:p>
        </w:tc>
        <w:tc>
          <w:tcPr>
            <w:tcW w:type="dxa" w:w="2074"/>
            <w:shd w:fill="0B1324"/>
          </w:tcPr>
          <w:p>
            <w:r/>
            <w:r>
              <w:rPr>
                <w:rFonts w:ascii="Aptos" w:hAnsi="Aptos"/>
                <w:b/>
                <w:color w:val="FFFFFF"/>
                <w:sz w:val="21"/>
              </w:rPr>
              <w:t>Margem de contribuição</w:t>
            </w:r>
          </w:p>
        </w:tc>
        <w:tc>
          <w:tcPr>
            <w:tcW w:type="dxa" w:w="2074"/>
            <w:shd w:fill="0B1324"/>
          </w:tcPr>
          <w:p>
            <w:r/>
            <w:r>
              <w:rPr>
                <w:rFonts w:ascii="Aptos" w:hAnsi="Aptos"/>
                <w:b/>
                <w:color w:val="FFFFFF"/>
                <w:sz w:val="21"/>
              </w:rPr>
              <w:t>Custo fixo</w:t>
            </w:r>
          </w:p>
        </w:tc>
        <w:tc>
          <w:tcPr>
            <w:tcW w:type="dxa" w:w="2074"/>
            <w:shd w:fill="0B1324"/>
          </w:tcPr>
          <w:p>
            <w:r/>
            <w:r>
              <w:rPr>
                <w:rFonts w:ascii="Aptos" w:hAnsi="Aptos"/>
                <w:b/>
                <w:color w:val="FFFFFF"/>
                <w:sz w:val="21"/>
              </w:rPr>
              <w:t>Resultado líquido estimado</w:t>
            </w:r>
          </w:p>
        </w:tc>
      </w:tr>
      <w:tr>
        <w:tc>
          <w:tcPr>
            <w:tcW w:type="dxa" w:w="2074"/>
          </w:tcPr>
          <w:p>
            <w:r/>
            <w:r>
              <w:rPr>
                <w:rFonts w:ascii="Aptos" w:hAnsi="Aptos"/>
                <w:b/>
                <w:color w:val="0F172A"/>
                <w:sz w:val="21"/>
              </w:rPr>
              <w:t>20% das vendas</w:t>
            </w:r>
          </w:p>
        </w:tc>
        <w:tc>
          <w:tcPr>
            <w:tcW w:type="dxa" w:w="2074"/>
          </w:tcPr>
          <w:p>
            <w:r/>
            <w:r>
              <w:rPr>
                <w:rFonts w:ascii="Aptos" w:hAnsi="Aptos"/>
                <w:b w:val="0"/>
                <w:color w:val="0F172A"/>
                <w:sz w:val="21"/>
              </w:rPr>
              <w:t>R$ 8.480.000</w:t>
            </w:r>
          </w:p>
        </w:tc>
        <w:tc>
          <w:tcPr>
            <w:tcW w:type="dxa" w:w="2074"/>
          </w:tcPr>
          <w:p>
            <w:r/>
            <w:r>
              <w:rPr>
                <w:rFonts w:ascii="Aptos" w:hAnsi="Aptos"/>
                <w:b w:val="0"/>
                <w:color w:val="0F172A"/>
                <w:sz w:val="21"/>
              </w:rPr>
              <w:t>R$ 3.895.160</w:t>
            </w:r>
          </w:p>
        </w:tc>
        <w:tc>
          <w:tcPr>
            <w:tcW w:type="dxa" w:w="2074"/>
          </w:tcPr>
          <w:p>
            <w:r/>
            <w:r>
              <w:rPr>
                <w:rFonts w:ascii="Aptos" w:hAnsi="Aptos"/>
                <w:b w:val="0"/>
                <w:color w:val="0F172A"/>
                <w:sz w:val="21"/>
              </w:rPr>
              <w:t>R$ 2.988.000</w:t>
            </w:r>
          </w:p>
        </w:tc>
        <w:tc>
          <w:tcPr>
            <w:tcW w:type="dxa" w:w="2074"/>
          </w:tcPr>
          <w:p>
            <w:r/>
            <w:r>
              <w:rPr>
                <w:rFonts w:ascii="Aptos" w:hAnsi="Aptos"/>
                <w:b/>
                <w:color w:val="059669"/>
                <w:sz w:val="21"/>
              </w:rPr>
              <w:t>R$ 907.160</w:t>
            </w:r>
          </w:p>
        </w:tc>
      </w:tr>
      <w:tr>
        <w:tc>
          <w:tcPr>
            <w:tcW w:type="dxa" w:w="2074"/>
          </w:tcPr>
          <w:p>
            <w:r/>
            <w:r>
              <w:rPr>
                <w:rFonts w:ascii="Aptos" w:hAnsi="Aptos"/>
                <w:b/>
                <w:color w:val="0F172A"/>
                <w:sz w:val="21"/>
              </w:rPr>
              <w:t>50% das vendas</w:t>
            </w:r>
          </w:p>
        </w:tc>
        <w:tc>
          <w:tcPr>
            <w:tcW w:type="dxa" w:w="2074"/>
          </w:tcPr>
          <w:p>
            <w:r/>
            <w:r>
              <w:rPr>
                <w:rFonts w:ascii="Aptos" w:hAnsi="Aptos"/>
                <w:b w:val="0"/>
                <w:color w:val="0F172A"/>
                <w:sz w:val="21"/>
              </w:rPr>
              <w:t>R$ 21.200.000</w:t>
            </w:r>
          </w:p>
        </w:tc>
        <w:tc>
          <w:tcPr>
            <w:tcW w:type="dxa" w:w="2074"/>
          </w:tcPr>
          <w:p>
            <w:r/>
            <w:r>
              <w:rPr>
                <w:rFonts w:ascii="Aptos" w:hAnsi="Aptos"/>
                <w:b w:val="0"/>
                <w:color w:val="0F172A"/>
                <w:sz w:val="21"/>
              </w:rPr>
              <w:t>R$ 9.737.900</w:t>
            </w:r>
          </w:p>
        </w:tc>
        <w:tc>
          <w:tcPr>
            <w:tcW w:type="dxa" w:w="2074"/>
          </w:tcPr>
          <w:p>
            <w:r/>
            <w:r>
              <w:rPr>
                <w:rFonts w:ascii="Aptos" w:hAnsi="Aptos"/>
                <w:b w:val="0"/>
                <w:color w:val="0F172A"/>
                <w:sz w:val="21"/>
              </w:rPr>
              <w:t>R$ 2.988.000</w:t>
            </w:r>
          </w:p>
        </w:tc>
        <w:tc>
          <w:tcPr>
            <w:tcW w:type="dxa" w:w="2074"/>
          </w:tcPr>
          <w:p>
            <w:r/>
            <w:r>
              <w:rPr>
                <w:rFonts w:ascii="Aptos" w:hAnsi="Aptos"/>
                <w:b/>
                <w:color w:val="059669"/>
                <w:sz w:val="21"/>
              </w:rPr>
              <w:t>R$ 6.749.900</w:t>
            </w:r>
          </w:p>
        </w:tc>
      </w:tr>
      <w:tr>
        <w:tc>
          <w:tcPr>
            <w:tcW w:type="dxa" w:w="2074"/>
          </w:tcPr>
          <w:p>
            <w:r/>
            <w:r>
              <w:rPr>
                <w:rFonts w:ascii="Aptos" w:hAnsi="Aptos"/>
                <w:b/>
                <w:color w:val="0F172A"/>
                <w:sz w:val="21"/>
              </w:rPr>
              <w:t>100% das vendas</w:t>
            </w:r>
          </w:p>
        </w:tc>
        <w:tc>
          <w:tcPr>
            <w:tcW w:type="dxa" w:w="2074"/>
          </w:tcPr>
          <w:p>
            <w:r/>
            <w:r>
              <w:rPr>
                <w:rFonts w:ascii="Aptos" w:hAnsi="Aptos"/>
                <w:b w:val="0"/>
                <w:color w:val="0F172A"/>
                <w:sz w:val="21"/>
              </w:rPr>
              <w:t>R$ 42.400.000</w:t>
            </w:r>
          </w:p>
        </w:tc>
        <w:tc>
          <w:tcPr>
            <w:tcW w:type="dxa" w:w="2074"/>
          </w:tcPr>
          <w:p>
            <w:r/>
            <w:r>
              <w:rPr>
                <w:rFonts w:ascii="Aptos" w:hAnsi="Aptos"/>
                <w:b w:val="0"/>
                <w:color w:val="0F172A"/>
                <w:sz w:val="21"/>
              </w:rPr>
              <w:t>R$ 19.475.800</w:t>
            </w:r>
          </w:p>
        </w:tc>
        <w:tc>
          <w:tcPr>
            <w:tcW w:type="dxa" w:w="2074"/>
          </w:tcPr>
          <w:p>
            <w:r/>
            <w:r>
              <w:rPr>
                <w:rFonts w:ascii="Aptos" w:hAnsi="Aptos"/>
                <w:b w:val="0"/>
                <w:color w:val="0F172A"/>
                <w:sz w:val="21"/>
              </w:rPr>
              <w:t>R$ 2.988.000</w:t>
            </w:r>
          </w:p>
        </w:tc>
        <w:tc>
          <w:tcPr>
            <w:tcW w:type="dxa" w:w="2074"/>
          </w:tcPr>
          <w:p>
            <w:r/>
            <w:r>
              <w:rPr>
                <w:rFonts w:ascii="Aptos" w:hAnsi="Aptos"/>
                <w:b/>
                <w:color w:val="059669"/>
                <w:sz w:val="21"/>
              </w:rPr>
              <w:t>R$ 16.487.800</w:t>
            </w:r>
          </w:p>
        </w:tc>
      </w:tr>
    </w:tbl>
    <w:p>
      <w:r>
        <w:rPr>
          <w:rFonts w:ascii="Aptos" w:hAnsi="Aptos"/>
          <w:b/>
          <w:color w:val="0B1324"/>
          <w:sz w:val="36"/>
        </w:rPr>
        <w:t>7. Investimento necessário</w:t>
      </w:r>
    </w:p>
    <w:p>
      <w:pPr>
        <w:ind w:left="288"/>
      </w:pPr>
      <w:r>
        <w:rPr>
          <w:rFonts w:ascii="Aptos" w:hAnsi="Aptos"/>
          <w:color w:val="334155"/>
          <w:sz w:val="22"/>
        </w:rPr>
        <w:t>• Capital de giro previsto: R$ 1.500.000.</w:t>
      </w:r>
    </w:p>
    <w:p>
      <w:pPr>
        <w:ind w:left="288"/>
      </w:pPr>
      <w:r>
        <w:rPr>
          <w:rFonts w:ascii="Aptos" w:hAnsi="Aptos"/>
          <w:color w:val="334155"/>
          <w:sz w:val="22"/>
        </w:rPr>
        <w:t>• Estoque / containers: R$ 8.820.000.</w:t>
      </w:r>
    </w:p>
    <w:p>
      <w:pPr>
        <w:ind w:left="288"/>
      </w:pPr>
      <w:r>
        <w:rPr>
          <w:rFonts w:ascii="Aptos" w:hAnsi="Aptos"/>
          <w:color w:val="334155"/>
          <w:sz w:val="22"/>
        </w:rPr>
        <w:t>• Investimento total do plano: R$ 11.000.000.</w:t>
      </w:r>
    </w:p>
    <w:p>
      <w:r>
        <w:rPr>
          <w:rFonts w:ascii="Aptos" w:hAnsi="Aptos"/>
          <w:b/>
          <w:color w:val="0B1324"/>
          <w:sz w:val="36"/>
        </w:rPr>
        <w:t>8. Premissas financeiras do investidor</w:t>
      </w:r>
    </w:p>
    <w:p>
      <w:pPr>
        <w:ind w:left="288"/>
      </w:pPr>
      <w:r>
        <w:rPr>
          <w:rFonts w:ascii="Aptos" w:hAnsi="Aptos"/>
          <w:color w:val="334155"/>
          <w:sz w:val="22"/>
        </w:rPr>
        <w:t>• Distribuição ao investidor: 25% a partir de nov/2026 (com base no item “Outras — 25%” do relatório).</w:t>
      </w:r>
    </w:p>
    <w:p>
      <w:pPr>
        <w:ind w:left="288"/>
      </w:pPr>
      <w:r>
        <w:rPr>
          <w:rFonts w:ascii="Aptos" w:hAnsi="Aptos"/>
          <w:color w:val="334155"/>
          <w:sz w:val="22"/>
        </w:rPr>
        <w:t>• Custo de oportunidade assumido para avaliação: 15% a.a.</w:t>
      </w:r>
    </w:p>
    <w:p>
      <w:pPr>
        <w:ind w:left="288"/>
      </w:pPr>
      <w:r>
        <w:rPr>
          <w:rFonts w:ascii="Aptos" w:hAnsi="Aptos"/>
          <w:color w:val="334155"/>
          <w:sz w:val="22"/>
        </w:rPr>
        <w:t>• TIR estimada: 25,4% a.a.</w:t>
      </w:r>
    </w:p>
    <w:p>
      <w:pPr>
        <w:ind w:left="288"/>
      </w:pPr>
      <w:r>
        <w:rPr>
          <w:rFonts w:ascii="Aptos" w:hAnsi="Aptos"/>
          <w:color w:val="334155"/>
          <w:sz w:val="22"/>
        </w:rPr>
        <w:t>• VPL estimado: R$ 2.817.416.</w:t>
      </w:r>
    </w:p>
    <w:p>
      <w:pPr>
        <w:ind w:left="288"/>
      </w:pPr>
      <w:r>
        <w:rPr>
          <w:rFonts w:ascii="Aptos" w:hAnsi="Aptos"/>
          <w:color w:val="334155"/>
          <w:sz w:val="22"/>
        </w:rPr>
        <w:t>• Payback do investidor estimado: 2,67 anos.</w:t>
      </w:r>
    </w:p>
    <w:p>
      <w:r>
        <w:rPr>
          <w:rFonts w:ascii="Aptos" w:hAnsi="Aptos"/>
          <w:b/>
          <w:color w:val="0B1324"/>
          <w:sz w:val="36"/>
        </w:rPr>
        <w:t>9. Fluxo de caixa do negócio (resumido)</w:t>
      </w:r>
    </w:p>
    <w:p>
      <w:pPr>
        <w:ind w:left="288"/>
      </w:pPr>
      <w:r>
        <w:rPr>
          <w:rFonts w:ascii="Aptos" w:hAnsi="Aptos"/>
          <w:color w:val="334155"/>
          <w:sz w:val="22"/>
        </w:rPr>
        <w:t>• Set/2027: receita R$ 3.533.333,3, margem de contribuição R$ 1.622.983,3, custo fixo R$ 249.000 e resultado líquido estimado R$ 1.373.983,3.</w:t>
      </w:r>
    </w:p>
    <w:p>
      <w:pPr>
        <w:ind w:left="288"/>
      </w:pPr>
      <w:r>
        <w:rPr>
          <w:rFonts w:ascii="Aptos" w:hAnsi="Aptos"/>
          <w:color w:val="334155"/>
          <w:sz w:val="22"/>
        </w:rPr>
        <w:t>• Ano cheio 2028: receita R$ 42.400.000, margem de contribuição R$ 19.475.800, custo fixo R$ 2.988.000 e resultado líquido R$ 16.487.800.</w:t>
      </w:r>
    </w:p>
    <w:p>
      <w:r>
        <w:rPr>
          <w:rFonts w:ascii="Aptos" w:hAnsi="Aptos"/>
          <w:b/>
          <w:color w:val="0B1324"/>
          <w:sz w:val="36"/>
        </w:rPr>
        <w:t>10. Fluxo de caixa do investidor (resumido)</w:t>
      </w:r>
    </w:p>
    <w:p>
      <w:pPr>
        <w:ind w:left="288"/>
      </w:pPr>
      <w:r>
        <w:rPr>
          <w:rFonts w:ascii="Aptos" w:hAnsi="Aptos"/>
          <w:color w:val="334155"/>
          <w:sz w:val="22"/>
        </w:rPr>
        <w:t>• Aporte inicial-base: R$ 11.000.000 em jul/2026.</w:t>
      </w:r>
    </w:p>
    <w:p>
      <w:pPr>
        <w:ind w:left="288"/>
      </w:pPr>
      <w:r>
        <w:rPr>
          <w:rFonts w:ascii="Aptos" w:hAnsi="Aptos"/>
          <w:color w:val="334155"/>
          <w:sz w:val="22"/>
        </w:rPr>
        <w:t>• Set/2027: distribuição mensal estimada de R$ 343.495,8.</w:t>
      </w:r>
    </w:p>
    <w:p>
      <w:pPr>
        <w:ind w:left="288"/>
      </w:pPr>
      <w:r>
        <w:rPr>
          <w:rFonts w:ascii="Aptos" w:hAnsi="Aptos"/>
          <w:color w:val="334155"/>
          <w:sz w:val="22"/>
        </w:rPr>
        <w:t>• Ano cheio 2028: distribuição anual estimada de R$ 4.121.950, equivalente a média mensal de R$ 343.495,8.</w:t>
      </w:r>
    </w:p>
    <w:p>
      <w:r>
        <w:rPr>
          <w:rFonts w:ascii="Aptos" w:hAnsi="Aptos"/>
          <w:b/>
          <w:color w:val="0B1324"/>
          <w:sz w:val="36"/>
        </w:rPr>
        <w:t>11. Fechamento</w:t>
      </w:r>
    </w:p>
    <w:p>
      <w:r>
        <w:rPr>
          <w:rFonts w:ascii="Aptos" w:hAnsi="Aptos"/>
          <w:color w:val="1E293B"/>
          <w:sz w:val="22"/>
        </w:rPr>
        <w:t>A tese de investimento continua sustentada por mercado com tendência estrutural, modelo integrado, margem atrativa nos produtos já ativados e upside relevante nos produtos ainda fora da modelagem. O investidor não depende do bloco “a ativar” para a tese-base fechar; esse bloco funciona como expansão de valor.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