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B8A6"/>
          <w:sz w:val="28"/>
        </w:rPr>
        <w:t>PIT DE INVESTIMENTO</w:t>
      </w:r>
    </w:p>
    <w:p>
      <w:pPr>
        <w:jc w:val="center"/>
      </w:pPr>
      <w:r>
        <w:rPr>
          <w:rFonts w:ascii="Aptos Display" w:hAnsi="Aptos Display"/>
          <w:b/>
          <w:color w:val="0B1324"/>
          <w:sz w:val="48"/>
        </w:rPr>
        <w:t>Infraestrutura de recarga elétrica para investidores</w:t>
      </w:r>
    </w:p>
    <w:p>
      <w:pPr>
        <w:jc w:val="center"/>
      </w:pPr>
      <w:r>
        <w:rPr>
          <w:rFonts w:ascii="Aptos" w:hAnsi="Aptos"/>
          <w:color w:val="475569"/>
          <w:sz w:val="24"/>
        </w:rPr>
        <w:t>Resumo executivo final para captação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vAlign w:val="center"/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B1324"/>
                <w:sz w:val="24"/>
              </w:rPr>
              <w:t>Mensagem-chave: a operação foi desenhada com 06 produtos, mas a modelagem financeira atual considera apenas 03. Isso torna a tese-base conservadora e preserva upside relevante para monetização futura.</w:t>
            </w:r>
          </w:p>
        </w:tc>
      </w:tr>
    </w:tbl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Ramp-up de referência: agosto/2027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Aporte-base considerado: R$ 11,0 milhões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Payback-base indicado no relatório: até 18 meses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Base deste material: deck investidor v5 final e planejamento consolidado até maio/2026</w:t>
      </w:r>
    </w:p>
    <w:p>
      <w:r>
        <w:rPr>
          <w:rFonts w:ascii="Aptos" w:hAnsi="Aptos"/>
        </w:rPr>
        <w:br w:type="page"/>
      </w:r>
    </w:p>
    <w:p>
      <w:r>
        <w:rPr>
          <w:rFonts w:ascii="Aptos Display" w:hAnsi="Aptos Display"/>
          <w:b/>
          <w:color w:val="0B1324"/>
          <w:sz w:val="36"/>
        </w:rPr>
        <w:t>1. A empresa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O negócio foi estruturado para atuar em infraestrutura de recarga elétrica com abordagem integrada, combinando venda de equipamentos, implantação, software e novas frentes de serviço. O núcleo societário é formado por 03 sócios, com liderança executiva centralizada no CEO César Lisboa para condução estratégica e tomada de decisão.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Valores explicitados no material: respeito aos valores do negócio, segurança do investimento e da operação, foco em aprendizado e construção de valor no longo prazo.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Objetivos financeiros-base: capital próprio na largada, execução faseada acompanhando a evolução de vendas e payback estimado em até 18 meses.</w:t>
      </w:r>
    </w:p>
    <w:p>
      <w:r>
        <w:rPr>
          <w:rFonts w:ascii="Aptos Display" w:hAnsi="Aptos Display"/>
          <w:b/>
          <w:color w:val="0B1324"/>
          <w:sz w:val="36"/>
        </w:rPr>
        <w:t>2. Produtos ativados e a ativar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A tese atual fecha com 03 produtos ativados e 03 produtos ainda fora da modelagem. Esse ponto é central para o investidor: a geração de resultado já se sustenta no bloco ativado, enquanto o segundo bloco funciona como upside.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19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850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9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24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Kit / equipamento principal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R$ 80.000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33,4%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R$ 26.736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R$ 8.020.800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Implantação / instalação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35,3%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R$ 14.120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R$ 4.236.000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Software de gestão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4.000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R$ 1.600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70,0%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R$ 4.480.000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19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850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9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247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Estudo de viabilidade / assessoria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Peças e upgrades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Manutenção especializada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</w:tbl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Faturamento anual pós-ramp-up hoje modelado: R$ 42.400.000.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Margem de contribuição total anual dos produtos ativados: R$ 16.736.800.</w:t>
      </w:r>
    </w:p>
    <w:p>
      <w:r>
        <w:rPr>
          <w:rFonts w:ascii="Aptos" w:hAnsi="Aptos"/>
        </w:rPr>
        <w:br w:type="page"/>
      </w:r>
    </w:p>
    <w:p>
      <w:r>
        <w:rPr>
          <w:rFonts w:ascii="Aptos Display" w:hAnsi="Aptos Display"/>
          <w:b/>
          <w:color w:val="0B1324"/>
          <w:sz w:val="36"/>
        </w:rPr>
        <w:t>3. Mercado, estrutura e alavancagem operacional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Para este material, a premissa de mercado adotada foi de 5.000 kits e 5.000 instalações vendidos por mês no Brasil durante todo o período do estudo. Isso gera uma base anual proxy de R$ 7,2 bilhões e uma base total de R$ 36,0 bilhões em 60 meses.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Com essa premissa, o share-alvo do plano por receita anual é de aproximadamente 0,6%, enquanto a participação em unidades projetadas no estudo é de 0,1% para kits e 0,1% para instalações.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A leitura de tese é positiva: o plano não depende de share elevado para se sustentar, o que reduz a exigência de captura de mercado para fechar a conta.</w:t>
      </w:r>
    </w:p>
    <w:p>
      <w:r>
        <w:rPr>
          <w:rFonts w:ascii="Aptos Display" w:hAnsi="Aptos Display"/>
          <w:b/>
          <w:color w:val="0B1324"/>
          <w:sz w:val="36"/>
        </w:rPr>
        <w:t>4. Estrutura resumida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As páginas de estrutura do relatório apontam R$ 723,5 mil de setup resumido e R$ 249 mil por mês em custos e despesas fixas. Para facilitar a leitura do investidor, o custo fixo foi apresentado por frente funcional de forma resumida.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255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Setup resumido</w:t>
            </w:r>
          </w:p>
        </w:tc>
        <w:tc>
          <w:tcPr>
            <w:tcW w:type="dxa" w:w="255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Custo/despesa fixa mensal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Comercial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R$ 340.000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R$ 117.083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Operacional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R$ 331.000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R$ 113.983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Adm-Fin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R$ 52.500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R$ 17.934</w:t>
            </w:r>
          </w:p>
        </w:tc>
      </w:tr>
    </w:tbl>
    <w:p>
      <w:r>
        <w:rPr>
          <w:rFonts w:ascii="Aptos Display" w:hAnsi="Aptos Display"/>
          <w:b/>
          <w:color w:val="0B1324"/>
          <w:sz w:val="36"/>
        </w:rPr>
        <w:t>5. Resultado líquido com custo fixo preservado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Mantendo a mesma base de custo fixo anual e a mesma relação de margem de contribuição da modelagem atual, a alavancagem operacional aparece com clareza nos três cenários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Nível de vendas</w:t>
            </w:r>
          </w:p>
        </w:tc>
        <w:tc>
          <w:tcPr>
            <w:tcW w:type="dxa" w:w="198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Receita anual</w:t>
            </w:r>
          </w:p>
        </w:tc>
        <w:tc>
          <w:tcPr>
            <w:tcW w:type="dxa" w:w="209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Margem de contribuição</w:t>
            </w:r>
          </w:p>
        </w:tc>
        <w:tc>
          <w:tcPr>
            <w:tcW w:type="dxa" w:w="181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anual</w:t>
            </w:r>
          </w:p>
        </w:tc>
        <w:tc>
          <w:tcPr>
            <w:tcW w:type="dxa" w:w="181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 líquido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20%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R$ 8.480.000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R$ 3.895.160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R$ 907.160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50%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R$ 21.200.000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R$ 9.737.900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R$ 6.749.900</w:t>
            </w:r>
          </w:p>
        </w:tc>
      </w:tr>
      <w:tr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100%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R$ 42.400.000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R$ 19.475.800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R$ 16.487.800</w:t>
            </w:r>
          </w:p>
        </w:tc>
      </w:tr>
    </w:tbl>
    <w:p>
      <w:r>
        <w:rPr>
          <w:rFonts w:ascii="Aptos" w:hAnsi="Aptos"/>
        </w:rPr>
        <w:br w:type="page"/>
      </w:r>
    </w:p>
    <w:p>
      <w:r>
        <w:rPr>
          <w:rFonts w:ascii="Aptos Display" w:hAnsi="Aptos Display"/>
          <w:b/>
          <w:color w:val="0B1324"/>
          <w:sz w:val="36"/>
        </w:rPr>
        <w:t>6. Investimento necessário e premissas do investidor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A modelagem-base considera investimento total de R$ 11,0 milhões, composto principalmente por capital de giro e estrutura de estoque/containers para sustentação da operação.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Capital de giro previsto: R$ 1.500.000.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Estoque / containers: R$ 8.820.000.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Investimento total do plano: R$ 11.000.000.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Premissas do investidor consideradas neste material: distribuição de 25%, custo de oportunidade de 15% ao ano, TIR estimada de 25,4% ao ano, VPL estimado de R$ 2.817.416 e payback do investidor de 2,67 anos.</w:t>
      </w:r>
    </w:p>
    <w:p>
      <w:r>
        <w:rPr>
          <w:rFonts w:ascii="Aptos Display" w:hAnsi="Aptos Display"/>
          <w:b/>
          <w:color w:val="0B1324"/>
          <w:sz w:val="36"/>
        </w:rPr>
        <w:t>7. Fluxo de caixa resumido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Negócio – mês de referência após ramp-up: setembro/2027 com receita estimada de R$ 3.533.333,3, margem de contribuição de R$ 1.622.983,3, custo fixo de R$ 249.000 e resultado líquido de R$ 1.373.983,3.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Negócio – ano cheio após ramp-up: 2028 com receita anual de R$ 42.400.000, margem de contribuição de R$ 19.475.800, custo fixo anual de R$ 2.988.000 e resultado líquido de R$ 16.487.800.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Investidor – aporte inicial-base: R$ 11.000.000 em julho/2026.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Investidor – distribuição mensal estimada após ramp-up: R$ 343.495,8.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Investidor – distribuição anual estimada em ano cheio pós-ramp-up: R$ 4.121.950.</w:t>
      </w:r>
    </w:p>
    <w:p>
      <w:r>
        <w:rPr>
          <w:rFonts w:ascii="Aptos Display" w:hAnsi="Aptos Display"/>
          <w:b/>
          <w:color w:val="0B1324"/>
          <w:sz w:val="36"/>
        </w:rPr>
        <w:t>8. Fechamento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A tese se sustenta com mercado em formação, mix integrado e margem positiva já no bloco hoje ativado. O investidor entra em uma operação que não depende do portfólio completo para validar a tese-base.</w:t>
      </w:r>
    </w:p>
    <w:p>
      <w:pPr>
        <w:spacing w:after="100" w:line="276" w:lineRule="auto"/>
      </w:pPr>
      <w:r>
        <w:rPr>
          <w:rFonts w:ascii="Aptos" w:hAnsi="Aptos"/>
          <w:color w:val="334155"/>
          <w:sz w:val="21"/>
        </w:rPr>
        <w:t>Ao mesmo tempo, o fato de 03 dos 06 produtos ainda estarem fora da modelagem atual abre uma avenida concreta de upside. Em outras palavras: o material entregue hoje descreve uma base conservadora, não o teto econômico do negócio.</w:t>
      </w:r>
    </w:p>
    <w:p>
      <w:pPr>
        <w:pStyle w:val="ListBullet"/>
        <w:spacing w:after="100" w:line="276" w:lineRule="auto"/>
      </w:pPr>
      <w:r>
        <w:rPr>
          <w:rFonts w:ascii="Aptos" w:hAnsi="Aptos"/>
          <w:color w:val="334155"/>
          <w:sz w:val="21"/>
        </w:rPr>
        <w:t>Leitura final para captação: caso atrativo para investidor que busca retorno com assimetria positiva, produto/serviço integrado e potencial de expansão de receita, margem e recorrência sem aumento proporcional do custo fixo.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