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B8A6"/>
          <w:sz w:val="28"/>
        </w:rPr>
        <w:t>PIT DE INVESTIMENTO</w:t>
      </w:r>
    </w:p>
    <w:p>
      <w:pPr>
        <w:jc w:val="center"/>
      </w:pPr>
      <w:r>
        <w:rPr>
          <w:rFonts w:ascii="Aptos Display" w:hAnsi="Aptos Display"/>
          <w:b/>
          <w:color w:val="0B1324"/>
          <w:sz w:val="48"/>
        </w:rPr>
        <w:t>Infraestrutura de recarga elétrica para investidores</w:t>
      </w:r>
    </w:p>
    <w:p>
      <w:pPr>
        <w:jc w:val="center"/>
      </w:pPr>
      <w:r>
        <w:rPr>
          <w:rFonts w:ascii="Aptos" w:hAnsi="Aptos"/>
          <w:color w:val="475569"/>
          <w:sz w:val="24"/>
        </w:rPr>
        <w:t>Resumo executivo v6 | planejamento revisado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0F2FE"/>
            <w:vAlign w:val="center"/>
          </w:tcPr>
          <w:p>
            <w:pPr>
              <w:spacing w:after="40" w:before="0"/>
              <w:jc w:val="center"/>
            </w:pPr>
            <w:r/>
            <w:r>
              <w:rPr>
                <w:rFonts w:ascii="Aptos" w:hAnsi="Aptos"/>
                <w:b/>
                <w:color w:val="0B1324"/>
                <w:sz w:val="24"/>
              </w:rPr>
              <w:t>Mensagem-chave: a operação foi desenhada com 06 produtos, mas o planejamento revisado mantém apenas 03 na modelagem e, na rampa financeira, concentra a captura efetiva em kit e software. Isso preserva upside adicional fora da conta atual.</w:t>
            </w:r>
          </w:p>
        </w:tc>
      </w:tr>
    </w:tbl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Ramp-up de referência: agosto/2027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Aporte-base considerado: R$ 11,0 milhões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Payback do investidor no fluxo revisado: aproximadamente 11 meses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adotada nesta versão: Set/2027 como primeiro mês cheio pós-ramp-up e 2028 como equivalência anualizada desse patamar</w:t>
      </w:r>
    </w:p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1. A empresa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núcleo societário permanece estruturado em 03 sócios, com liderança executiva concentrada no CEO César Lisboa. O posicionamento do negócio segue baseado em execução por etapas, proteção do investimento e construção de valor no longo prazo.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Valores explicitados: respeito aos valores do negócio, segurança do investimento/operação e prioridade ao longo prazo.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Premissas estratégicas: capital próprio na largada, gatilhos de investimento acompanhando vendas e foco em viabilizar um negócio sólido e lucrativo.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2. Produtos ativados e a ativar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portfólio completo possui 06 produtos. No entanto, o planejamento revisado mantém apenas 03 produtos dentro da modelagem e, na rampa financeira atual, a implantação aparece modelada, porém zerada em volume e receita.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36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79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3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19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Kit / equipamento principal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300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R$ 80.000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33,4%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R$ 26.736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R$ 8.020.800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Implantação / instalação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Modelado sem rampa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R$ 40.000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35,3%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R$ 14.120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R$ 0</w:t>
            </w:r>
          </w:p>
        </w:tc>
      </w:tr>
      <w:tr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Software de gestão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59669"/>
                <w:sz w:val="21"/>
              </w:rPr>
              <w:t>Ativado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4.000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R$ 1.600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70,0%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R$ 1.120</w:t>
            </w:r>
          </w:p>
        </w:tc>
        <w:tc>
          <w:tcPr>
            <w:tcW w:type="dxa" w:w="1457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R$ 4.480.000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2608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36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247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Qtd. pós-ramp-up</w:t>
            </w:r>
          </w:p>
        </w:tc>
        <w:tc>
          <w:tcPr>
            <w:tcW w:type="dxa" w:w="130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Valor unitário</w:t>
            </w:r>
          </w:p>
        </w:tc>
        <w:tc>
          <w:tcPr>
            <w:tcW w:type="dxa" w:w="79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MC%</w:t>
            </w:r>
          </w:p>
        </w:tc>
        <w:tc>
          <w:tcPr>
            <w:tcW w:type="dxa" w:w="1134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unitária</w:t>
            </w:r>
          </w:p>
        </w:tc>
        <w:tc>
          <w:tcPr>
            <w:tcW w:type="dxa" w:w="1191"/>
            <w:shd w:fill="1E293B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MC total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Estudo de viabilidade / assessoria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Peças e upgrades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  <w:tr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Manutenção especializada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D97706"/>
                <w:sz w:val="21"/>
              </w:rPr>
              <w:t>A ativar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A estruturar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  <w:tc>
          <w:tcPr>
            <w:tcW w:type="dxa" w:w="1457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475569"/>
                <w:sz w:val="21"/>
              </w:rPr>
              <w:t>-</w:t>
            </w:r>
          </w:p>
        </w:tc>
      </w:tr>
    </w:tbl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Base mensal pós-ramp-up adotada nesta versão: receita de R$ 30.400.000 e margem de contribuição de R$ 12.500.800.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investidor: a captura financeira revisada está concentrada em kit e software. A instalação segue com parâmetro econômico, mas sem volume na rampa, reforçando o caráter conservador do plano.</w:t>
      </w:r>
    </w:p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3. Mercado, estrutura e sensibilidade de resultado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Para o slide de mercado, foi mantida a premissa informada de 5.000 kits e 5.000 instalações vendidos por mês no Brasil. Com isso, a leitura pós-ramp-up do planejamento revisado indica participação de 300 kits/mês, equivalente a 6,0% desse mercado, enquanto instalações ficam em 0,0% na rampa revisada.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Mercado mensal proxy: R$ 600 milhões. Share mensal por receita do plano revisado: 5,1%.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O software foi mantido como base ativa separada, sem comparabilidade direta com essa premissa de mercado físico.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4. Estrutura resumida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As frentes Comercial, Operacional e Adm-Fin mantêm setup total de R$ 723,5 mil e custo fixo mensal consolidado de R$ 249 mil.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18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255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Setup resumido</w:t>
            </w:r>
          </w:p>
        </w:tc>
        <w:tc>
          <w:tcPr>
            <w:tcW w:type="dxa" w:w="2721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mensal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Comercial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R$ 340.000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R$ 117.083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Operacional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R$ 331.000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R$ 113.983</w:t>
            </w:r>
          </w:p>
        </w:tc>
      </w:tr>
      <w:tr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Adm-Fin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R$ 52.500</w:t>
            </w:r>
          </w:p>
        </w:tc>
        <w:tc>
          <w:tcPr>
            <w:tcW w:type="dxa" w:w="3400"/>
            <w:shd w:fill="F8FAFC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R$ 17.934</w:t>
            </w:r>
          </w:p>
        </w:tc>
      </w:tr>
    </w:tbl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5. Resultado líquido com custo fixo preservado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 sensibilidade abaixo foi anualizada a partir da base mensal revisada do planejamento, mantendo mesma estrutura de margem, custo fixo e tributação efetiva.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Nível de vendas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Receita anualizada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Margem de contribuição</w:t>
            </w:r>
          </w:p>
        </w:tc>
        <w:tc>
          <w:tcPr>
            <w:tcW w:type="dxa" w:w="181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Custo fixo anual</w:t>
            </w:r>
          </w:p>
        </w:tc>
        <w:tc>
          <w:tcPr>
            <w:tcW w:type="dxa" w:w="2154"/>
            <w:shd w:fill="0B1324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Resultado líquido anualizado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20%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R$ 72.960.000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R$ 30.001.920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R$ 17.018.770</w:t>
            </w:r>
          </w:p>
        </w:tc>
      </w:tr>
      <w:tr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50%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R$ 182.400.000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R$ 75.004.800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40"/>
            <w:shd w:fill="EEF2F7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R$ 45.370.584</w:t>
            </w:r>
          </w:p>
        </w:tc>
      </w:tr>
      <w:tr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100%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R$ 364.800.000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R$ 150.009.600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 w:val="0"/>
                <w:color w:val="0F172A"/>
                <w:sz w:val="21"/>
              </w:rPr>
              <w:t>R$ 2.988.000</w:t>
            </w:r>
          </w:p>
        </w:tc>
        <w:tc>
          <w:tcPr>
            <w:tcW w:type="dxa" w:w="2040"/>
            <w:shd w:fill="E0F2FE"/>
            <w:vAlign w:val="center"/>
          </w:tcPr>
          <w:p>
            <w:pPr>
              <w:spacing w:after="40" w:before="0"/>
              <w:jc w:val="left"/>
            </w:pPr>
            <w:r/>
            <w:r>
              <w:rPr>
                <w:rFonts w:ascii="Aptos" w:hAnsi="Aptos"/>
                <w:b/>
                <w:color w:val="0F172A"/>
                <w:sz w:val="21"/>
              </w:rPr>
              <w:t>R$ 92.623.608</w:t>
            </w:r>
          </w:p>
        </w:tc>
      </w:tr>
    </w:tbl>
    <w:p>
      <w:r>
        <w:rPr>
          <w:rFonts w:ascii="Aptos" w:hAnsi="Aptos"/>
        </w:rPr>
        <w:br w:type="page"/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6. Investimento necessário e premissas do investidor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O investimento total permanece em R$ 11,0 milhões, com concentração em capital de giro e formação de estoque/capacidade de entrega.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Capital de giro: R$ 1.500.000.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Estoques / containers: R$ 8.820.000.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Investimento total do plano: R$ 11.000.000.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No fluxo revisado, foi mantida distribuição de 25% ao investidor a partir de novembro/2026. O cálculo desta versão usa o fluxo mensal do próprio plano entre julho/2026 e dezembro/2027.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Indicadores recalculados: custo de oportunidade de 15% a.a., TIR anualizada de 150,8%, VPL estimado de R$ 10.386.111 e payback aproximado de 11 meses.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7. Fluxo de caixa resumido do negócio e do investidor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Set/2027 (1º mês cheio após ramp-up): receita de R$ 30.400.000, margem de contribuição de R$ 12.500.800, custo fixo de R$ 249.000, carga tributária de R$ 4.533.166 e resultado líquido de R$ 7.718.634.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Equivalência anualizada 2028: receita de R$ 364.800.000, margem de contribuição de R$ 150.009.600, custo fixo anual de R$ 2.988.000 e resultado líquido de R$ 92.623.608.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Fluxo do investidor: aporte inicial de R$ 11.000.000 em jul/2026, distribuição mensal estimada de R$ 1.929.658,5 em Set/2027 e equivalência anualizada de R$ 23.155.902 para 2028.</w:t>
      </w:r>
    </w:p>
    <w:p>
      <w:pPr>
        <w:spacing w:before="160" w:after="120"/>
      </w:pPr>
      <w:r>
        <w:rPr>
          <w:rFonts w:ascii="Aptos Display" w:hAnsi="Aptos Display"/>
          <w:b/>
          <w:color w:val="0B1324"/>
          <w:sz w:val="36"/>
        </w:rPr>
        <w:t>8. Fechamento</w:t>
      </w:r>
    </w:p>
    <w:p>
      <w:pPr>
        <w:spacing w:after="100" w:line="269" w:lineRule="auto"/>
      </w:pPr>
      <w:r>
        <w:rPr>
          <w:rFonts w:ascii="Aptos" w:hAnsi="Aptos"/>
          <w:color w:val="334155"/>
          <w:sz w:val="21"/>
        </w:rPr>
        <w:t>A tese revisada segue atrativa para captação porque combina payback rápido no fluxo modelado, forte monetização após o ramp-up e upside importante ainda não capturado nos 03 produtos fora da conta.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O ponto central para o investidor é que o plano continua conservador em duas frentes: primeiro, porque apenas metade do portfólio total foi incluída; segundo, porque a implantação está economicamente modelada, mas zerada na rampa financeira revisada.</w:t>
      </w:r>
    </w:p>
    <w:p>
      <w:pPr>
        <w:pStyle w:val="ListBullet"/>
        <w:spacing w:after="100" w:line="269" w:lineRule="auto"/>
      </w:pPr>
      <w:r>
        <w:rPr>
          <w:rFonts w:ascii="Aptos" w:hAnsi="Aptos"/>
          <w:color w:val="334155"/>
          <w:sz w:val="21"/>
        </w:rPr>
        <w:t>Leitura final: trata-se de um case com assimetria positiva, mercado estruturalmente crescente, forte alavancagem operacional e espaço claro para expansão de receita, margem e recorrência.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