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B8A6"/>
          <w:sz w:val="28"/>
        </w:rPr>
        <w:t>PIT DE INVESTIMENTO</w:t>
      </w:r>
    </w:p>
    <w:p>
      <w:pPr>
        <w:jc w:val="center"/>
      </w:pPr>
      <w:r>
        <w:rPr>
          <w:rFonts w:ascii="Aptos Display" w:hAnsi="Aptos Display"/>
          <w:b/>
          <w:color w:val="0B1324"/>
          <w:sz w:val="48"/>
        </w:rPr>
        <w:t>Infraestrutura de recarga elétrica para investidores</w:t>
      </w:r>
    </w:p>
    <w:p>
      <w:pPr>
        <w:jc w:val="center"/>
      </w:pPr>
      <w:r>
        <w:rPr>
          <w:rFonts w:ascii="Aptos" w:hAnsi="Aptos"/>
          <w:color w:val="475569"/>
          <w:sz w:val="24"/>
        </w:rPr>
        <w:t>Resumo executivo v7 | PDF 03 revisado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vAlign w:val="center"/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B1324"/>
                <w:sz w:val="24"/>
              </w:rPr>
              <w:t>Mensagem-chave: a operação foi desenhada com 06 produtos, mas o PDF 03 mantém 03 linhas econômicas modeladas e, na rampa financeira efetiva, concentra a captura em 02 produtos: kit e software. Isso preserva upside relevante fora da conta atual.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Ramp-up de referência: agosto/2027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Aporte-base considerado: R$ 11,5 milhões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Payback: 36 meses na visão conservadora do relatório e cerca de 12 meses na leitura otimista do fluxo projetado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adotada nesta versão: Set/2027 como primeiro mês cheio pós-ramp-up e 2028 como equivalência anualizada desse patamar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1. A empresa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PDF 03 reforça uma tese societária e estratégica mais robusta: os sócios compartilham visão orientada a resultado, disciplina de execução, uso intensivo de tecnologia e ambição de posicionar a operação como referência confiável em infraestrutura corporativa de recarga rápida.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Valores explicitados: respeito aos valores do negócio, segurança do investimento e da operação, prioridade ao longo prazo e valorização da cadeia produtiva.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Premissa financeira do board: payback de 36 meses na visão conservadora, com o próprio fluxo projetado indicando prazo materialmente menor em cenário otimista.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2. Produtos ativados e a ativar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portfólio segue com 06 produtos. No entanto, no PDF 03 há uma distinção importante: existem 03 linhas com preço e margem definidos, mas apenas 02 produtos capturam receita efetiva na rampa financeira — kit e software. A implantação permanece economicamente modelada, porém zerada em volume e receita.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Kit / equipamento principal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R$ 80.000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33,4%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R$ 26.736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R$ 8.020.800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Implantação / instalação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Modelado sem rampa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35,3%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R$ 14.120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Software de gestão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4.000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R$ 1.600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75,8%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R$ 1.212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R$ 4.848.000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Estudo de viabilidade / assessoria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Peças e upgrades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Manutenção especializada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Base mensal pós-ramp-up adotada nesta versão: receita de R$ 30.400.000 e margem de contribuição de R$ 12.868.800.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investidor: o PDF 03 mostra uma rampa efetiva concentrada em 02 produtos. Isso é importante porque indica que o resultado atual continua conservador mesmo antes da ativação do restante do portfólio.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3. Mercado, estrutura e sensibilidade de resultado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Foi mantida a premissa de mercado informada para os slides: 5.000 kits e 5.000 instalações vendidos por mês no Brasil. Com isso, a leitura pós-ramp-up do PDF 03 aponta participação de 300 kits/mês, equivalente a 6,0% desse mercado, enquanto instalações ficam em 0,0% na rampa revisada.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Mercado mensal proxy: R$ 600 milhões. Share mensal por receita do plano: 5,1%.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software foi mantido como base ativa separada, sem comparabilidade direta com essa premissa de mercado físico.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4. Estrutura resumida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PDF 03 revisa a estrutura administrativa e o custo fixo mensal consolidado. O setup das frentes passa para R$ 773,5 mil e o custo fixo mensal para R$ 311,5 mil.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255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Setup resumido</w:t>
            </w:r>
          </w:p>
        </w:tc>
        <w:tc>
          <w:tcPr>
            <w:tcW w:type="dxa" w:w="272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mensal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Comercial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R$ 340.000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R$ 136.923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Operacional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R$ 331.000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R$ 133.299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Adm-Fin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R$ 102.500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R$ 41.278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5. Resultado líquido com custo fixo preservado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sensibilidade abaixo foi anualizada a partir da base mensal do PDF 03, mantendo a mesma estrutura de margem, custo fixo e tributação efetiva.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Nível de vendas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Receita anualizada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Margem de contribuição</w:t>
            </w:r>
          </w:p>
        </w:tc>
        <w:tc>
          <w:tcPr>
            <w:tcW w:type="dxa" w:w="181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anual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 líquido anualizado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20%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R$ 72.960.000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R$ 30.885.120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R$ 17.013.946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50%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R$ 182.400.000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R$ 77.212.800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R$ 46.245.564</w:t>
            </w:r>
          </w:p>
        </w:tc>
      </w:tr>
      <w:tr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100%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R$ 364.800.000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R$ 154.425.600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R$ 3.738.000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R$ 94.933.188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6. Investimento necessário e premissas do investidor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PDF 03 também revisa o bloco de investimento. O aporte total sobe para R$ 11,5 milhões e o capital de giro passa para R$ 1,9 milhão.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Capital de giro: R$ 1.900.000.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Estoques / containers: R$ 8.820.000.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Investimento total do plano: R$ 11.500.000.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No fluxo do investidor, foi mantida distribuição de 25% a partir de novembro/2026.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Indicadores recalculados para esta versão: custo de oportunidade de 15% a.a., TIR anualizada de 142,2%, VPL estimado de R$ 10.273.739 e payback aproximado de 10,2 meses.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7. Fluxo de caixa resumido do negócio e do investidor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Set/2027 (1º mês cheio após ramp-up): receita de R$ 30.400.000, margem de contribuição de R$ 12.868.800, custo fixo de R$ 311.500, carga tributária de R$ 4.646.201 e resultado líquido de R$ 7.911.099.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Equivalência anualizada 2028: receita de R$ 364.800.000, margem de contribuição de R$ 154.425.600, custo fixo anual de R$ 3.738.000 e resultado líquido de R$ 94.933.188.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Fluxo do investidor: aporte inicial de R$ 11.500.000 em jul/2026, distribuição mensal estimada de R$ 1.977.774,75 em Set/2027 e equivalência anualizada de R$ 23.733.297.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8. Fechamento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tese permanece atrativa para captação porque o PDF 03 fortalece a narrativa estratégica, eleva a consistência da estrutura e, ao mesmo tempo, mantém uma modelagem conservadora em relação ao potencial total do portfólio.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ponto mais importante para o investidor é que o negócio tem 06 produtos no desenho, 03 linhas econômicas modeladas e apenas 02 produtos capturando a rampa efetiva. Isso significa que parte relevante do upside continua fora da conta atual.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final: trata-se de um case com mercado estruturalmente crescente, alavancagem operacional forte, payback potencialmente rápido e expansão futura de receita, margem e recorrência ainda não incorporada na totalidade do plano.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