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Resumo Executivo para Investidores</w:t>
      </w:r>
    </w:p>
    <w:p>
      <w:pPr>
        <w:jc w:val="center"/>
      </w:pPr>
      <w:r>
        <w:rPr>
          <w:i/>
        </w:rPr>
        <w:t>Infraestrutura de recarga elétrica | Versão final revisada com base no PDF 03</w:t>
      </w:r>
    </w:p>
    <w:p>
      <w:r>
        <w:t>A operação foi desenhada para capturar a expansão estrutural da mobilidade elétrica no Brasil, combinando venda de kits, software de gestão e frentes complementares de implantação, assessoria, peças e manutenção. Na modelagem atual, apenas 2 produtos sustentam efetivamente a rampa financeira — kit/equipamento principal e software de gestão — o que torna a tese conservadora e preserva upside concreto pela ativação futura de mais 4 frentes do portfólio.</w:t>
      </w:r>
    </w:p>
    <w:p>
      <w:r>
        <w:rPr>
          <w:b/>
          <w:sz w:val="28"/>
        </w:rPr>
        <w:t>1. A empresa</w:t>
      </w:r>
    </w:p>
    <w:p>
      <w:r>
        <w:t>A estrutura de gestão prevê conselho de administração, diretoria e gerências comercial, operacional e adm/fin, com César Lisboa na condução estratégica. O capital é 100% próprio na largada, com execução faseada e foco em segurança do investimento, disciplina operacional e valorização da cadeia produtiva — colaboradores, fornecedores e clientes.</w:t>
      </w:r>
    </w:p>
    <w:p>
      <w:r>
        <w:rPr>
          <w:b/>
          <w:sz w:val="28"/>
        </w:rPr>
        <w:t>2. Produtos e base econômica</w:t>
      </w:r>
    </w:p>
    <w:p>
      <w:r>
        <w:rPr>
          <w:b/>
          <w:sz w:val="23"/>
        </w:rPr>
        <w:t>Produtos que sustentam o resultado atual</w:t>
      </w:r>
    </w:p>
    <w:p>
      <w:pPr>
        <w:pStyle w:val="ListBullet"/>
      </w:pPr>
      <w:r>
        <w:t>Kit/equipamento principal: 300 unidades pós-ramp-up, preço unitário de R$ 80.000, MC% de 33,4%, MC unitária de R$ 26.736 e MC total de R$ 8.020.800.</w:t>
      </w:r>
    </w:p>
    <w:p>
      <w:pPr>
        <w:pStyle w:val="ListBullet"/>
      </w:pPr>
      <w:r>
        <w:t>Software de gestão: base ativa de 4.000 contratos, preço unitário de R$ 1.600, MC% de 75,8%, MC unitária de R$ 1.212 e MC total de R$ 4.848.000.</w:t>
      </w:r>
    </w:p>
    <w:p>
      <w:r>
        <w:rPr>
          <w:b/>
          <w:sz w:val="23"/>
        </w:rPr>
        <w:t>Produtos adicionais passíveis de ativação</w:t>
      </w:r>
    </w:p>
    <w:p>
      <w:pPr>
        <w:pStyle w:val="ListBullet"/>
      </w:pPr>
      <w:r>
        <w:t>Implantação/instalação: economicamente modelado, porém sem volume e sem receita na rampa atual.</w:t>
      </w:r>
    </w:p>
    <w:p>
      <w:pPr>
        <w:pStyle w:val="ListBullet"/>
      </w:pPr>
      <w:r>
        <w:t>Estudo de viabilidade/assessoria: ainda não ativado na modelagem.</w:t>
      </w:r>
    </w:p>
    <w:p>
      <w:pPr>
        <w:pStyle w:val="ListBullet"/>
      </w:pPr>
      <w:r>
        <w:t>Peças e upgrades: ainda não ativado na modelagem.</w:t>
      </w:r>
    </w:p>
    <w:p>
      <w:pPr>
        <w:pStyle w:val="ListBullet"/>
      </w:pPr>
      <w:r>
        <w:t>Manutenção especializada: ainda não ativado na modelagem.</w:t>
      </w:r>
    </w:p>
    <w:p>
      <w:r>
        <w:t>Com isso, o faturamento mensal pós-ramp-up da versão atual soma R$ 30,4 milhões, com margem de contribuição mensal de R$ 12,8688 milhões. A leitura correta é de 2 produtos contribuindo para o resultado e 4 frentes adicionais passíveis de ativação ao longo da execução.</w:t>
      </w:r>
    </w:p>
    <w:p>
      <w:r>
        <w:rPr>
          <w:b/>
          <w:sz w:val="28"/>
        </w:rPr>
        <w:t>3. Demanda de mercado e déficit de infraestrutura</w:t>
      </w:r>
    </w:p>
    <w:p>
      <w:r>
        <w:t>Com 411.869 veículos plug-in em circulação e 21.061 pontos públicos e semipúblicos de recarga, o Brasil opera hoje com relação de 19,6 veículos por ponto. Adotando referência de 10 veículos por ponto, o déficit atual é de 20.126 pontos de recarga.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Ano</w:t>
            </w:r>
          </w:p>
        </w:tc>
        <w:tc>
          <w:tcPr>
            <w:tcW w:type="dxa" w:w="2045"/>
          </w:tcPr>
          <w:p>
            <w:r>
              <w:t>Frota projetada</w:t>
            </w:r>
          </w:p>
        </w:tc>
        <w:tc>
          <w:tcPr>
            <w:tcW w:type="dxa" w:w="2045"/>
          </w:tcPr>
          <w:p>
            <w:r>
              <w:t>Pontos necessários (10:1)</w:t>
            </w:r>
          </w:p>
        </w:tc>
        <w:tc>
          <w:tcPr>
            <w:tcW w:type="dxa" w:w="2045"/>
          </w:tcPr>
          <w:p>
            <w:r>
              <w:t>Déficit acumulado</w:t>
            </w:r>
          </w:p>
        </w:tc>
        <w:tc>
          <w:tcPr>
            <w:tcW w:type="dxa" w:w="2045"/>
          </w:tcPr>
          <w:p>
            <w:r>
              <w:t>Demanda incremental</w:t>
            </w:r>
          </w:p>
        </w:tc>
      </w:tr>
      <w:tr>
        <w:tc>
          <w:tcPr>
            <w:tcW w:type="dxa" w:w="2045"/>
          </w:tcPr>
          <w:p>
            <w:r>
              <w:t>2026</w:t>
            </w:r>
          </w:p>
        </w:tc>
        <w:tc>
          <w:tcPr>
            <w:tcW w:type="dxa" w:w="2045"/>
          </w:tcPr>
          <w:p>
            <w:r>
              <w:t>639.869</w:t>
            </w:r>
          </w:p>
        </w:tc>
        <w:tc>
          <w:tcPr>
            <w:tcW w:type="dxa" w:w="2045"/>
          </w:tcPr>
          <w:p>
            <w:r>
              <w:t>63.987</w:t>
            </w:r>
          </w:p>
        </w:tc>
        <w:tc>
          <w:tcPr>
            <w:tcW w:type="dxa" w:w="2045"/>
          </w:tcPr>
          <w:p>
            <w:r>
              <w:t>42.926</w:t>
            </w:r>
          </w:p>
        </w:tc>
        <w:tc>
          <w:tcPr>
            <w:tcW w:type="dxa" w:w="2045"/>
          </w:tcPr>
          <w:p>
            <w:r>
              <w:t>22.800</w:t>
            </w:r>
          </w:p>
        </w:tc>
      </w:tr>
      <w:tr>
        <w:tc>
          <w:tcPr>
            <w:tcW w:type="dxa" w:w="2045"/>
          </w:tcPr>
          <w:p>
            <w:r>
              <w:t>2027</w:t>
            </w:r>
          </w:p>
        </w:tc>
        <w:tc>
          <w:tcPr>
            <w:tcW w:type="dxa" w:w="2045"/>
          </w:tcPr>
          <w:p>
            <w:r>
              <w:t>1.004.869</w:t>
            </w:r>
          </w:p>
        </w:tc>
        <w:tc>
          <w:tcPr>
            <w:tcW w:type="dxa" w:w="2045"/>
          </w:tcPr>
          <w:p>
            <w:r>
              <w:t>100.487</w:t>
            </w:r>
          </w:p>
        </w:tc>
        <w:tc>
          <w:tcPr>
            <w:tcW w:type="dxa" w:w="2045"/>
          </w:tcPr>
          <w:p>
            <w:r>
              <w:t>79.426</w:t>
            </w:r>
          </w:p>
        </w:tc>
        <w:tc>
          <w:tcPr>
            <w:tcW w:type="dxa" w:w="2045"/>
          </w:tcPr>
          <w:p>
            <w:r>
              <w:t>36.500</w:t>
            </w:r>
          </w:p>
        </w:tc>
      </w:tr>
      <w:tr>
        <w:tc>
          <w:tcPr>
            <w:tcW w:type="dxa" w:w="2045"/>
          </w:tcPr>
          <w:p>
            <w:r>
              <w:t>2028</w:t>
            </w:r>
          </w:p>
        </w:tc>
        <w:tc>
          <w:tcPr>
            <w:tcW w:type="dxa" w:w="2045"/>
          </w:tcPr>
          <w:p>
            <w:r>
              <w:t>1.588.869</w:t>
            </w:r>
          </w:p>
        </w:tc>
        <w:tc>
          <w:tcPr>
            <w:tcW w:type="dxa" w:w="2045"/>
          </w:tcPr>
          <w:p>
            <w:r>
              <w:t>158.887</w:t>
            </w:r>
          </w:p>
        </w:tc>
        <w:tc>
          <w:tcPr>
            <w:tcW w:type="dxa" w:w="2045"/>
          </w:tcPr>
          <w:p>
            <w:r>
              <w:t>137.826</w:t>
            </w:r>
          </w:p>
        </w:tc>
        <w:tc>
          <w:tcPr>
            <w:tcW w:type="dxa" w:w="2045"/>
          </w:tcPr>
          <w:p>
            <w:r>
              <w:t>58.400</w:t>
            </w:r>
          </w:p>
        </w:tc>
      </w:tr>
      <w:tr>
        <w:tc>
          <w:tcPr>
            <w:tcW w:type="dxa" w:w="2045"/>
          </w:tcPr>
          <w:p>
            <w:r>
              <w:t>2029</w:t>
            </w:r>
          </w:p>
        </w:tc>
        <w:tc>
          <w:tcPr>
            <w:tcW w:type="dxa" w:w="2045"/>
          </w:tcPr>
          <w:p>
            <w:r>
              <w:t>2.523.869</w:t>
            </w:r>
          </w:p>
        </w:tc>
        <w:tc>
          <w:tcPr>
            <w:tcW w:type="dxa" w:w="2045"/>
          </w:tcPr>
          <w:p>
            <w:r>
              <w:t>252.387</w:t>
            </w:r>
          </w:p>
        </w:tc>
        <w:tc>
          <w:tcPr>
            <w:tcW w:type="dxa" w:w="2045"/>
          </w:tcPr>
          <w:p>
            <w:r>
              <w:t>231.326</w:t>
            </w:r>
          </w:p>
        </w:tc>
        <w:tc>
          <w:tcPr>
            <w:tcW w:type="dxa" w:w="2045"/>
          </w:tcPr>
          <w:p>
            <w:r>
              <w:t>93.500</w:t>
            </w:r>
          </w:p>
        </w:tc>
      </w:tr>
      <w:tr>
        <w:tc>
          <w:tcPr>
            <w:tcW w:type="dxa" w:w="2045"/>
          </w:tcPr>
          <w:p>
            <w:r>
              <w:t>2030</w:t>
            </w:r>
          </w:p>
        </w:tc>
        <w:tc>
          <w:tcPr>
            <w:tcW w:type="dxa" w:w="2045"/>
          </w:tcPr>
          <w:p>
            <w:r>
              <w:t>4.023.869</w:t>
            </w:r>
          </w:p>
        </w:tc>
        <w:tc>
          <w:tcPr>
            <w:tcW w:type="dxa" w:w="2045"/>
          </w:tcPr>
          <w:p>
            <w:r>
              <w:t>402.387</w:t>
            </w:r>
          </w:p>
        </w:tc>
        <w:tc>
          <w:tcPr>
            <w:tcW w:type="dxa" w:w="2045"/>
          </w:tcPr>
          <w:p>
            <w:r>
              <w:t>381.326</w:t>
            </w:r>
          </w:p>
        </w:tc>
        <w:tc>
          <w:tcPr>
            <w:tcW w:type="dxa" w:w="2045"/>
          </w:tcPr>
          <w:p>
            <w:r>
              <w:t>150.000</w:t>
            </w:r>
          </w:p>
        </w:tc>
      </w:tr>
    </w:tbl>
    <w:p>
      <w:r>
        <w:t>As projeções de 2027 a 2030 foram tratadas como cenário-base de planejamento, alinhado à tendência setorial de expansão da frota. A mensagem para investidores é clara: o mercado já nasce com déficit relevante e tende a ampliar a pressão por infraestrutura ao longo do horizonte.</w:t>
      </w:r>
    </w:p>
    <w:p>
      <w:r>
        <w:rPr>
          <w:b/>
          <w:sz w:val="28"/>
        </w:rPr>
        <w:t>4. Estrutura e custo fixo</w:t>
      </w:r>
    </w:p>
    <w:p>
      <w:pPr>
        <w:pStyle w:val="ListBullet"/>
      </w:pPr>
      <w:r>
        <w:t>Comercial: setup de R$ 340 mil e custo fixo mensal de R$ 110 mil.</w:t>
      </w:r>
    </w:p>
    <w:p>
      <w:pPr>
        <w:pStyle w:val="ListBullet"/>
      </w:pPr>
      <w:r>
        <w:t>Operacional: setup de R$ 331 mil e custo fixo mensal de R$ 109 mil.</w:t>
      </w:r>
    </w:p>
    <w:p>
      <w:pPr>
        <w:pStyle w:val="ListBullet"/>
      </w:pPr>
      <w:r>
        <w:t>Adm/Fin: setup de R$ 102,5 mil e custo fixo mensal de R$ 92,5 mil.</w:t>
      </w:r>
    </w:p>
    <w:p>
      <w:r>
        <w:t>O setup total das frentes soma R$ 773,5 mil, com custo fixo mensal consolidado de R$ 311,5 mil.</w:t>
      </w:r>
    </w:p>
    <w:p>
      <w:r>
        <w:rPr>
          <w:b/>
          <w:sz w:val="28"/>
        </w:rPr>
        <w:t>5. Resultado líquido em cenários de venda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Cenário</w:t>
            </w:r>
          </w:p>
        </w:tc>
        <w:tc>
          <w:tcPr>
            <w:tcW w:type="dxa" w:w="2045"/>
          </w:tcPr>
          <w:p>
            <w:r>
              <w:t>Receita mensal</w:t>
            </w:r>
          </w:p>
        </w:tc>
        <w:tc>
          <w:tcPr>
            <w:tcW w:type="dxa" w:w="2045"/>
          </w:tcPr>
          <w:p>
            <w:r>
              <w:t>MC mensal</w:t>
            </w:r>
          </w:p>
        </w:tc>
        <w:tc>
          <w:tcPr>
            <w:tcW w:type="dxa" w:w="2045"/>
          </w:tcPr>
          <w:p>
            <w:r>
              <w:t>Custo fixo mensal</w:t>
            </w:r>
          </w:p>
        </w:tc>
        <w:tc>
          <w:tcPr>
            <w:tcW w:type="dxa" w:w="2045"/>
          </w:tcPr>
          <w:p>
            <w:r>
              <w:t>Resultado líquido mensal</w:t>
            </w:r>
          </w:p>
        </w:tc>
      </w:tr>
      <w:tr>
        <w:tc>
          <w:tcPr>
            <w:tcW w:type="dxa" w:w="2045"/>
          </w:tcPr>
          <w:p>
            <w:r>
              <w:t>20%</w:t>
            </w:r>
          </w:p>
        </w:tc>
        <w:tc>
          <w:tcPr>
            <w:tcW w:type="dxa" w:w="2045"/>
          </w:tcPr>
          <w:p>
            <w:r>
              <w:t>R$ 6.080.000</w:t>
            </w:r>
          </w:p>
        </w:tc>
        <w:tc>
          <w:tcPr>
            <w:tcW w:type="dxa" w:w="2045"/>
          </w:tcPr>
          <w:p>
            <w:r>
              <w:t>R$ 2.573.760</w:t>
            </w:r>
          </w:p>
        </w:tc>
        <w:tc>
          <w:tcPr>
            <w:tcW w:type="dxa" w:w="2045"/>
          </w:tcPr>
          <w:p>
            <w:r>
              <w:t>R$ 311.500</w:t>
            </w:r>
          </w:p>
        </w:tc>
        <w:tc>
          <w:tcPr>
            <w:tcW w:type="dxa" w:w="2045"/>
          </w:tcPr>
          <w:p>
            <w:r>
              <w:t>R$ 1.425.224</w:t>
            </w:r>
          </w:p>
        </w:tc>
      </w:tr>
      <w:tr>
        <w:tc>
          <w:tcPr>
            <w:tcW w:type="dxa" w:w="2045"/>
          </w:tcPr>
          <w:p>
            <w:r>
              <w:t>50%</w:t>
            </w:r>
          </w:p>
        </w:tc>
        <w:tc>
          <w:tcPr>
            <w:tcW w:type="dxa" w:w="2045"/>
          </w:tcPr>
          <w:p>
            <w:r>
              <w:t>R$ 15.200.000</w:t>
            </w:r>
          </w:p>
        </w:tc>
        <w:tc>
          <w:tcPr>
            <w:tcW w:type="dxa" w:w="2045"/>
          </w:tcPr>
          <w:p>
            <w:r>
              <w:t>R$ 6.434.400</w:t>
            </w:r>
          </w:p>
        </w:tc>
        <w:tc>
          <w:tcPr>
            <w:tcW w:type="dxa" w:w="2045"/>
          </w:tcPr>
          <w:p>
            <w:r>
              <w:t>R$ 311.500</w:t>
            </w:r>
          </w:p>
        </w:tc>
        <w:tc>
          <w:tcPr>
            <w:tcW w:type="dxa" w:w="2045"/>
          </w:tcPr>
          <w:p>
            <w:r>
              <w:t>R$ 3.857.427</w:t>
            </w:r>
          </w:p>
        </w:tc>
      </w:tr>
      <w:tr>
        <w:tc>
          <w:tcPr>
            <w:tcW w:type="dxa" w:w="2045"/>
          </w:tcPr>
          <w:p>
            <w:r>
              <w:t>100%</w:t>
            </w:r>
          </w:p>
        </w:tc>
        <w:tc>
          <w:tcPr>
            <w:tcW w:type="dxa" w:w="2045"/>
          </w:tcPr>
          <w:p>
            <w:r>
              <w:t>R$ 30.400.000</w:t>
            </w:r>
          </w:p>
        </w:tc>
        <w:tc>
          <w:tcPr>
            <w:tcW w:type="dxa" w:w="2045"/>
          </w:tcPr>
          <w:p>
            <w:r>
              <w:t>R$ 12.868.800</w:t>
            </w:r>
          </w:p>
        </w:tc>
        <w:tc>
          <w:tcPr>
            <w:tcW w:type="dxa" w:w="2045"/>
          </w:tcPr>
          <w:p>
            <w:r>
              <w:t>R$ 311.500</w:t>
            </w:r>
          </w:p>
        </w:tc>
        <w:tc>
          <w:tcPr>
            <w:tcW w:type="dxa" w:w="2045"/>
          </w:tcPr>
          <w:p>
            <w:r>
              <w:t>R$ 7.911.099</w:t>
            </w:r>
          </w:p>
        </w:tc>
      </w:tr>
    </w:tbl>
    <w:p>
      <w:r>
        <w:rPr>
          <w:b/>
          <w:sz w:val="28"/>
        </w:rPr>
        <w:t>6. Investimento necessário</w:t>
      </w:r>
    </w:p>
    <w:p>
      <w:pPr>
        <w:pStyle w:val="ListBullet"/>
      </w:pPr>
      <w:r>
        <w:t>Caixa / capital de giro: R$ 1,9 milhão.</w:t>
      </w:r>
    </w:p>
    <w:p>
      <w:pPr>
        <w:pStyle w:val="ListBullet"/>
      </w:pPr>
      <w:r>
        <w:t>Estoques / containers: R$ 8,82 milhões.</w:t>
      </w:r>
    </w:p>
    <w:p>
      <w:pPr>
        <w:pStyle w:val="ListBullet"/>
      </w:pPr>
      <w:r>
        <w:t>Investimentos fixos mapeados: R$ 462 mil.</w:t>
      </w:r>
    </w:p>
    <w:p>
      <w:pPr>
        <w:pStyle w:val="ListBullet"/>
      </w:pPr>
      <w:r>
        <w:t>Total de investimento: R$ 11,5 milhões.</w:t>
      </w:r>
    </w:p>
    <w:p>
      <w:r>
        <w:t>O modelo considerou taxa de dólar de R$ 5,00. O investimento segue concentrado em estoque e capacidade de entrega, com capital de giro suficiente para reduzir risco de execução no ramp-up.</w:t>
      </w:r>
    </w:p>
    <w:p>
      <w:r>
        <w:rPr>
          <w:b/>
          <w:sz w:val="28"/>
        </w:rPr>
        <w:t>7. Premissas do investidor</w:t>
      </w:r>
    </w:p>
    <w:p>
      <w:pPr>
        <w:pStyle w:val="ListBullet"/>
      </w:pPr>
      <w:r>
        <w:t>Distribuição de 25% a partir de nov/2026; nesta versão, a métrica foi recalculada com o fluxo mensal do próprio plano.</w:t>
      </w:r>
    </w:p>
    <w:p>
      <w:pPr>
        <w:pStyle w:val="ListBullet"/>
      </w:pPr>
      <w:r>
        <w:t>Custo de oportunidade: 12% a.a.</w:t>
      </w:r>
    </w:p>
    <w:p>
      <w:pPr>
        <w:pStyle w:val="ListBullet"/>
      </w:pPr>
      <w:r>
        <w:t>TIR estimada: 142,2% a.a.</w:t>
      </w:r>
    </w:p>
    <w:p>
      <w:pPr>
        <w:pStyle w:val="ListBullet"/>
      </w:pPr>
      <w:r>
        <w:t>VPL estimado: R$ 10.797.483.</w:t>
      </w:r>
    </w:p>
    <w:p>
      <w:pPr>
        <w:pStyle w:val="ListBullet"/>
      </w:pPr>
      <w:r>
        <w:t>Payback estimado: ~10,2 meses.</w:t>
      </w:r>
    </w:p>
    <w:p>
      <w:r>
        <w:rPr>
          <w:b/>
          <w:sz w:val="28"/>
        </w:rPr>
        <w:t>8. Fluxo de caixa resumido</w:t>
      </w:r>
    </w:p>
    <w:p>
      <w:r>
        <w:t>Negócio — 1 mês após o ramp-up (set/2027): receita de R$ 30,4 milhões, margem de contribuição de R$ 12,8688 milhões, custo fixo mensal de R$ 311,5 mil e resultado líquido de R$ 7,9111 milhões.</w:t>
      </w:r>
    </w:p>
    <w:p>
      <w:r>
        <w:t>Negócio — ano cheio de 2028: receita anual de R$ 364,8 milhões, margem de contribuição anualizada de R$ 154,4256 milhões, custo fixo anual de R$ 3,738 milhões e resultado líquido anualizado de R$ 94,9332 milhões.</w:t>
      </w:r>
    </w:p>
    <w:p>
      <w:r>
        <w:t>Investidor — aporte inicial de R$ 11,5 milhões em jul/2026, distribuição mensal estimada de R$ 1.977.774,75 em set/2027 e distribuição anualizada de R$ 23.733.297 no ano cheio de 2028.</w:t>
      </w:r>
    </w:p>
    <w:p>
      <w:r>
        <w:rPr>
          <w:b/>
          <w:sz w:val="28"/>
        </w:rPr>
        <w:t>9. Fechamento</w:t>
      </w:r>
    </w:p>
    <w:p>
      <w:r>
        <w:t>A tese fecha com 2 produtos contribuindo para o resultado atual e pode ganhar potência adicional com a ativação de mais 4 frentes do portfólio. Isso preserva uma leitura conservadora do caso base e mantém upside concreto de receita, margem, recorrência e captura de valor, sem depender dessas frentes adicionais para viabilizar o investimento.</w:t>
      </w:r>
    </w:p>
    <w:p>
      <w:r>
        <w:t>Em síntese, trata-se de uma operação posicionada em mercado com déficit estrutural de infraestrutura, base recorrente crescente, investimento integralmente mapeado e retorno potencial relevante para o investidor.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