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B158" w14:textId="77777777" w:rsidR="00A46072" w:rsidRDefault="00000000">
      <w:pPr>
        <w:spacing w:before="360" w:after="60"/>
      </w:pPr>
      <w:r>
        <w:rPr>
          <w:b/>
          <w:color w:val="000000"/>
          <w:sz w:val="46"/>
        </w:rPr>
        <w:t>RELATÓRIO EXECUTIVO</w:t>
      </w:r>
    </w:p>
    <w:p w14:paraId="4C1E5F46" w14:textId="77777777" w:rsidR="00A46072" w:rsidRDefault="00000000">
      <w:pPr>
        <w:spacing w:after="240"/>
      </w:pPr>
      <w:r>
        <w:rPr>
          <w:color w:val="595959"/>
          <w:sz w:val="28"/>
        </w:rPr>
        <w:t>Plano de Negócios do Franqueado — Poly Chargers</w:t>
      </w:r>
    </w:p>
    <w:p w14:paraId="4439E642" w14:textId="77777777" w:rsidR="00A46072" w:rsidRDefault="00000000">
      <w:pPr>
        <w:spacing w:after="40"/>
      </w:pPr>
      <w:r>
        <w:rPr>
          <w:b/>
        </w:rPr>
        <w:t xml:space="preserve">Destinatários: </w:t>
      </w:r>
      <w:r>
        <w:t>Pares e lideranças envolvidas na análise estratégica</w:t>
      </w:r>
    </w:p>
    <w:p w14:paraId="7C43460B" w14:textId="77777777" w:rsidR="00A46072" w:rsidRDefault="00000000">
      <w:pPr>
        <w:spacing w:after="40"/>
      </w:pPr>
      <w:r>
        <w:rPr>
          <w:b/>
        </w:rPr>
        <w:t xml:space="preserve">Empresa: </w:t>
      </w:r>
      <w:r>
        <w:t>AY — Poly Chargers</w:t>
      </w:r>
    </w:p>
    <w:p w14:paraId="3BE30C8E" w14:textId="77777777" w:rsidR="00A46072" w:rsidRDefault="00000000">
      <w:pPr>
        <w:spacing w:after="40"/>
      </w:pPr>
      <w:r>
        <w:rPr>
          <w:b/>
        </w:rPr>
        <w:t xml:space="preserve">Perspectiva: </w:t>
      </w:r>
      <w:r>
        <w:t>Franqueado</w:t>
      </w:r>
    </w:p>
    <w:p w14:paraId="10658778" w14:textId="77777777" w:rsidR="00A46072" w:rsidRDefault="00000000">
      <w:pPr>
        <w:spacing w:after="40"/>
      </w:pPr>
      <w:r>
        <w:rPr>
          <w:b/>
        </w:rPr>
        <w:t xml:space="preserve">Finalidade: </w:t>
      </w:r>
      <w:r>
        <w:t>Documento direto para análise, crítica e contribuições antes da imputação no APP32</w:t>
      </w:r>
    </w:p>
    <w:p w14:paraId="220ABEF1" w14:textId="77777777" w:rsidR="00A46072" w:rsidRDefault="00000000">
      <w:pPr>
        <w:spacing w:after="40"/>
      </w:pPr>
      <w:r>
        <w:rPr>
          <w:b/>
        </w:rPr>
        <w:t xml:space="preserve">Data: </w:t>
      </w:r>
      <w:r>
        <w:t>03/07/2026</w:t>
      </w:r>
    </w:p>
    <w:p w14:paraId="114BEDCF" w14:textId="77777777" w:rsidR="00A46072" w:rsidRDefault="00A46072">
      <w:pPr>
        <w:pBdr>
          <w:bottom w:val="single" w:sz="8" w:space="4" w:color="2E74B5"/>
        </w:pBdr>
      </w:pPr>
    </w:p>
    <w:tbl>
      <w:tblPr>
        <w:tblW w:w="9360" w:type="dxa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46072" w14:paraId="660A2460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EED1E7" w14:textId="77777777" w:rsidR="00A46072" w:rsidRDefault="00000000">
            <w:pPr>
              <w:spacing w:after="60"/>
            </w:pPr>
            <w:r>
              <w:rPr>
                <w:b/>
                <w:color w:val="0B2545"/>
              </w:rPr>
              <w:t>Resumo em uma frase</w:t>
            </w:r>
          </w:p>
          <w:p w14:paraId="6CF74B21" w14:textId="77777777" w:rsidR="00A46072" w:rsidRDefault="00000000">
            <w:pPr>
              <w:spacing w:after="0"/>
            </w:pPr>
            <w:r>
              <w:rPr>
                <w:sz w:val="21"/>
              </w:rPr>
              <w:t>A Poly Chargers está estruturando uma franquia para empreendedores que desejam operar eletropostos, combinando equipamentos de recarga, marca, processos, assessorias, soluções energéticas, módulos opcionais e financiamento próprio.</w:t>
            </w:r>
          </w:p>
        </w:tc>
      </w:tr>
    </w:tbl>
    <w:p w14:paraId="2E226C97" w14:textId="77777777" w:rsidR="00A46072" w:rsidRDefault="00A46072">
      <w:pPr>
        <w:spacing w:after="40"/>
      </w:pPr>
    </w:p>
    <w:p w14:paraId="79AC9E0A" w14:textId="77777777" w:rsidR="00A46072" w:rsidRDefault="00000000">
      <w:pPr>
        <w:pStyle w:val="Ttulo1"/>
      </w:pPr>
      <w:r>
        <w:t>1. Objetivo do documento</w:t>
      </w:r>
    </w:p>
    <w:p w14:paraId="6E37E6E2" w14:textId="10E20774" w:rsidR="00A46072" w:rsidRDefault="00000000">
      <w:r>
        <w:t xml:space="preserve">Este relatório apresenta, de forma consolidada e direta, a estrutura conceitual construída até o momento para o Plano de Negócios do Franqueado Poly Chargers. O objetivo é permitir que os pares avaliem a lógica do modelo, apontem riscos, tragam perspectivas complementares e </w:t>
      </w:r>
      <w:proofErr w:type="spellStart"/>
      <w:r>
        <w:t>indiquem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antes </w:t>
      </w:r>
      <w:r w:rsidR="009F21B5">
        <w:t xml:space="preserve">da </w:t>
      </w:r>
      <w:proofErr w:type="spellStart"/>
      <w:r w:rsidR="009F21B5">
        <w:t>evolução</w:t>
      </w:r>
      <w:proofErr w:type="spellEnd"/>
      <w:r>
        <w:t>.</w:t>
      </w:r>
    </w:p>
    <w:p w14:paraId="71A152AD" w14:textId="77777777" w:rsidR="00A46072" w:rsidRDefault="00000000">
      <w:pPr>
        <w:pStyle w:val="Ttulo1"/>
      </w:pPr>
      <w:r>
        <w:t>2. Definição do franqueado</w:t>
      </w:r>
    </w:p>
    <w:tbl>
      <w:tblPr>
        <w:tblW w:w="9360" w:type="dxa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46072" w14:paraId="1D916D8B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EDAA50" w14:textId="77777777" w:rsidR="00A46072" w:rsidRDefault="00000000">
            <w:pPr>
              <w:spacing w:after="60"/>
            </w:pPr>
            <w:r>
              <w:rPr>
                <w:b/>
                <w:color w:val="0B2545"/>
              </w:rPr>
              <w:t>Definição adotada</w:t>
            </w:r>
          </w:p>
          <w:p w14:paraId="3CAB9575" w14:textId="77777777" w:rsidR="00A46072" w:rsidRDefault="00000000">
            <w:pPr>
              <w:spacing w:after="0"/>
            </w:pPr>
            <w:r>
              <w:rPr>
                <w:sz w:val="21"/>
              </w:rPr>
              <w:t>O franqueado é o empreendedor que deseja adentrar no negócio de recarga de carros elétricos — eletropostos — por meio de um modelo de franquia Poly Chargers.</w:t>
            </w:r>
          </w:p>
        </w:tc>
      </w:tr>
    </w:tbl>
    <w:p w14:paraId="6F241E46" w14:textId="77777777" w:rsidR="00A46072" w:rsidRDefault="00A46072">
      <w:pPr>
        <w:spacing w:after="40"/>
      </w:pPr>
    </w:p>
    <w:p w14:paraId="57AA46C9" w14:textId="77777777" w:rsidR="00A46072" w:rsidRDefault="00000000">
      <w:r>
        <w:t>Ele não está sendo tratado como revendedor ou instalador. Ele é o empreendedor/investidor que adere à franquia, compra os equipamentos, implanta a unidade e opera o negócio conforme os padrões da rede.</w:t>
      </w:r>
    </w:p>
    <w:p w14:paraId="3A6A6177" w14:textId="77777777" w:rsidR="00A46072" w:rsidRDefault="00000000">
      <w:pPr>
        <w:pStyle w:val="Ttulo1"/>
      </w:pPr>
      <w:r>
        <w:t>3. Tese do modelo</w:t>
      </w:r>
    </w:p>
    <w:p w14:paraId="1E29E0E8" w14:textId="77777777" w:rsidR="00A46072" w:rsidRDefault="00000000">
      <w:r>
        <w:t>A franquia busca reduzir a complexidade de entrada no mercado de eletropostos ao oferecer uma estrutura pronta de marca, processos, tecnologia, assessorias, equipamentos homologados, soluções energéticas e módulos evolutivos.</w:t>
      </w:r>
    </w:p>
    <w:p w14:paraId="47A5F37B" w14:textId="77777777" w:rsidR="00A46072" w:rsidRDefault="00000000">
      <w:r>
        <w:lastRenderedPageBreak/>
        <w:t>A lógica econômica é permitir que o franqueado combine receita de recarga, eficiência no custo de energia e receitas adicionais por módulos complementares.</w:t>
      </w:r>
    </w:p>
    <w:p w14:paraId="447A8F4C" w14:textId="77777777" w:rsidR="00A46072" w:rsidRDefault="00000000">
      <w:pPr>
        <w:pStyle w:val="Ttulo1"/>
      </w:pPr>
      <w:r>
        <w:t>4. Compromissos do franqueado</w:t>
      </w:r>
    </w:p>
    <w:p w14:paraId="2CD839BE" w14:textId="77777777" w:rsidR="00A46072" w:rsidRDefault="00000000">
      <w:pPr>
        <w:pStyle w:val="Commarcadores"/>
        <w:spacing w:after="60"/>
        <w:ind w:left="720"/>
      </w:pPr>
      <w:r>
        <w:t>Comprar os equipamentos homologados.</w:t>
      </w:r>
    </w:p>
    <w:p w14:paraId="7E2BED69" w14:textId="77777777" w:rsidR="00A46072" w:rsidRDefault="00000000">
      <w:pPr>
        <w:pStyle w:val="Commarcadores"/>
        <w:spacing w:after="60"/>
        <w:ind w:left="720"/>
      </w:pPr>
      <w:r>
        <w:t>Pagar a taxa de franquia.</w:t>
      </w:r>
    </w:p>
    <w:p w14:paraId="763FC89B" w14:textId="77777777" w:rsidR="00A46072" w:rsidRDefault="00000000">
      <w:pPr>
        <w:pStyle w:val="Commarcadores"/>
        <w:spacing w:after="60"/>
        <w:ind w:left="720"/>
      </w:pPr>
      <w:r>
        <w:t>Contratar módulos adicionais, quando fizer sentido para sua operação.</w:t>
      </w:r>
    </w:p>
    <w:p w14:paraId="07FFDF11" w14:textId="77777777" w:rsidR="00A46072" w:rsidRDefault="00000000">
      <w:pPr>
        <w:pStyle w:val="Commarcadores"/>
        <w:spacing w:after="60"/>
        <w:ind w:left="720"/>
      </w:pPr>
      <w:r>
        <w:t>Pagar royalties.</w:t>
      </w:r>
    </w:p>
    <w:p w14:paraId="7E1D5348" w14:textId="77777777" w:rsidR="00A46072" w:rsidRDefault="00000000">
      <w:pPr>
        <w:pStyle w:val="Commarcadores"/>
        <w:spacing w:after="60"/>
        <w:ind w:left="720"/>
      </w:pPr>
      <w:r>
        <w:t>Contribuir com verba de marketing.</w:t>
      </w:r>
    </w:p>
    <w:p w14:paraId="4610F5A1" w14:textId="77777777" w:rsidR="00A46072" w:rsidRDefault="00000000">
      <w:pPr>
        <w:pStyle w:val="Commarcadores"/>
        <w:spacing w:after="60"/>
        <w:ind w:left="720"/>
      </w:pPr>
      <w:r>
        <w:t>Executar os processos e padrões definidos pela franquia.</w:t>
      </w:r>
    </w:p>
    <w:p w14:paraId="13AC00BA" w14:textId="77777777" w:rsidR="00A46072" w:rsidRDefault="00000000">
      <w:pPr>
        <w:pStyle w:val="Ttulo1"/>
      </w:pPr>
      <w:r>
        <w:t>5. Oferta da franqueadora</w:t>
      </w:r>
    </w:p>
    <w:tbl>
      <w:tblPr>
        <w:tblW w:w="9360" w:type="dxa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A46072" w14:paraId="189552D8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8DE0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Categoria</w:t>
            </w:r>
          </w:p>
        </w:tc>
        <w:tc>
          <w:tcPr>
            <w:tcW w:w="69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ADF4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O que a franqueadora oferece</w:t>
            </w:r>
          </w:p>
        </w:tc>
      </w:tr>
      <w:tr w:rsidR="00A46072" w14:paraId="744CDE9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DCD8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Modelo e marca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2308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Uso da marca, padrões operacionais, processos e metodologia da rede.</w:t>
            </w:r>
          </w:p>
        </w:tc>
      </w:tr>
      <w:tr w:rsidR="00A46072" w14:paraId="7BBF6EEB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59C3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Tecnologia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55B2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Equipamentos de última geração, atualizações tecnológicas, software de gestão e acesso ao fabricante chinês.</w:t>
            </w:r>
          </w:p>
        </w:tc>
      </w:tr>
      <w:tr w:rsidR="00A46072" w14:paraId="6B9FED23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24BB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Assistência técnica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0169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Garantia e assistência técnica direta da fábrica, conforme escopos e contratos aplicáveis.</w:t>
            </w:r>
          </w:p>
        </w:tc>
      </w:tr>
      <w:tr w:rsidR="00A46072" w14:paraId="7A956AC7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494E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Assessorias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1D44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Assessoria operacional, administrativa-financeira, comercial e de marketing.</w:t>
            </w:r>
          </w:p>
        </w:tc>
      </w:tr>
      <w:tr w:rsidR="00A46072" w14:paraId="33CA06C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5385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Energia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FFA3" w14:textId="77777777" w:rsidR="00A46072" w:rsidRPr="009F21B5" w:rsidRDefault="00000000">
            <w:pPr>
              <w:spacing w:after="0" w:line="252" w:lineRule="auto"/>
              <w:rPr>
                <w:b/>
                <w:bCs/>
              </w:rPr>
            </w:pPr>
            <w:r w:rsidRPr="009F21B5">
              <w:rPr>
                <w:b/>
                <w:bCs/>
                <w:sz w:val="19"/>
                <w:highlight w:val="yellow"/>
              </w:rPr>
              <w:t>Soluções de geração própria, rede de parceiros e aquisição de energia no mercado livre em bloco.</w:t>
            </w:r>
          </w:p>
        </w:tc>
      </w:tr>
      <w:tr w:rsidR="00A46072" w14:paraId="753C8F5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DB60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Módulos opcionais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D3BB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BESS, containers de negócios adjacentes, novos carregadores e upgrades.</w:t>
            </w:r>
          </w:p>
        </w:tc>
      </w:tr>
      <w:tr w:rsidR="00A46072" w14:paraId="2D1D8E58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DCEF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Financiamento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93D2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Financiamento próprio, quando aplicável e conforme condições definidas.</w:t>
            </w:r>
          </w:p>
        </w:tc>
      </w:tr>
    </w:tbl>
    <w:p w14:paraId="61EAA281" w14:textId="77777777" w:rsidR="00A46072" w:rsidRDefault="00A46072">
      <w:pPr>
        <w:spacing w:after="40"/>
      </w:pPr>
    </w:p>
    <w:p w14:paraId="01691538" w14:textId="77777777" w:rsidR="00A46072" w:rsidRDefault="00000000">
      <w:pPr>
        <w:pStyle w:val="Ttulo1"/>
      </w:pPr>
      <w:r>
        <w:t>6. Portfólio modular</w:t>
      </w:r>
    </w:p>
    <w:p w14:paraId="375FBD77" w14:textId="77777777" w:rsidR="00A46072" w:rsidRDefault="00000000">
      <w:r>
        <w:t>A estrutura foi organizada em módulos obrigatórios de entrada e módulos opcionais/evolutivos.</w:t>
      </w:r>
    </w:p>
    <w:tbl>
      <w:tblPr>
        <w:tblW w:w="9360" w:type="dxa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376"/>
        <w:gridCol w:w="5544"/>
      </w:tblGrid>
      <w:tr w:rsidR="00A46072" w14:paraId="0F20224C" w14:textId="77777777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59F1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Tipo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6471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Módulo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207D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Descrição</w:t>
            </w:r>
          </w:p>
        </w:tc>
      </w:tr>
      <w:tr w:rsidR="00A46072" w14:paraId="2A17AFAB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6AA4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Obrigatório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F5C8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Franquia Base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D028C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Marca, processos, assessorias, padrão operacional, royalties, verba de marketing e acesso ao ecossistema.</w:t>
            </w:r>
          </w:p>
        </w:tc>
      </w:tr>
      <w:tr w:rsidR="00A46072" w14:paraId="57984E65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01DE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Obrigatório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9E2E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Equipamentos de Recarga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2035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Carregadores homologados, acessórios, software, garantia, assistência técnica e atualizações.</w:t>
            </w:r>
          </w:p>
        </w:tc>
      </w:tr>
      <w:tr w:rsidR="00A46072" w14:paraId="3B382EF8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5AED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Opcional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EE99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Energia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156A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Geração própria, mercado livre, aquisição em bloco e rede de parceiros.</w:t>
            </w:r>
          </w:p>
        </w:tc>
      </w:tr>
      <w:tr w:rsidR="00A46072" w14:paraId="4FA451B1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A10E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Opcional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826F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BESS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A8FA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 xml:space="preserve">Armazenamento, gestão de demanda, estabilidade energética e </w:t>
            </w:r>
            <w:r>
              <w:rPr>
                <w:sz w:val="19"/>
              </w:rPr>
              <w:lastRenderedPageBreak/>
              <w:t>integração com geração própria.</w:t>
            </w:r>
          </w:p>
        </w:tc>
      </w:tr>
      <w:tr w:rsidR="00A46072" w14:paraId="1E5E725B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C917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Opcional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76BD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Negócios Adjacentes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DC0C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Containers de café, lava-jato, conveniência e serviços rápidos.</w:t>
            </w:r>
          </w:p>
        </w:tc>
      </w:tr>
      <w:tr w:rsidR="00A46072" w14:paraId="1F36A384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D72A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Opcional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3264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Expansão e Upgrades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C86C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Novos carregadores, upgrades tecnológicos, novos containers e novas soluções da rede.</w:t>
            </w:r>
          </w:p>
        </w:tc>
      </w:tr>
    </w:tbl>
    <w:p w14:paraId="0E2BBD5F" w14:textId="77777777" w:rsidR="00A46072" w:rsidRDefault="00A46072">
      <w:pPr>
        <w:spacing w:after="40"/>
      </w:pPr>
    </w:p>
    <w:p w14:paraId="3F0CA4C0" w14:textId="77777777" w:rsidR="00A46072" w:rsidRDefault="00000000">
      <w:pPr>
        <w:pStyle w:val="Ttulo1"/>
      </w:pPr>
      <w:r>
        <w:t>7. Modelo econômico do franqueado</w:t>
      </w:r>
    </w:p>
    <w:p w14:paraId="63193F47" w14:textId="77777777" w:rsidR="00A46072" w:rsidRDefault="00000000">
      <w:r>
        <w:t>O modelo econômico será estruturado em DRE gerencial, separando receitas, variáveis, margem de contribuição, estrutura fixa e resultado líquido.</w:t>
      </w:r>
    </w:p>
    <w:tbl>
      <w:tblPr>
        <w:tblW w:w="9360" w:type="dxa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A46072" w14:paraId="11EF152F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655A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Bloco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1060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Itens</w:t>
            </w:r>
          </w:p>
        </w:tc>
      </w:tr>
      <w:tr w:rsidR="00A46072" w14:paraId="754BDA16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6B8A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Receitas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6134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Recarga elétrica, contratos corporativos locais, contratos eventualmente negociados em bloco pela franqueadora e receitas futuras de módulos adicionais.</w:t>
            </w:r>
          </w:p>
        </w:tc>
      </w:tr>
      <w:tr w:rsidR="00A46072" w14:paraId="69BBC7A5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61CB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Custos variáveis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A6DA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Custo de energia, custos de insumos e custos de mercadorias.</w:t>
            </w:r>
          </w:p>
        </w:tc>
      </w:tr>
      <w:tr w:rsidR="00A46072" w14:paraId="0AD2C3F6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E599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Despesas variáveis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0490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Impostos, royalties, verba de marketing, comissões, taxas de meios de pagamento e eventuais taxas comerciais.</w:t>
            </w:r>
          </w:p>
        </w:tc>
      </w:tr>
      <w:tr w:rsidR="00A46072" w14:paraId="55FCDCA5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57F5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Margem de contribuição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368E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Receitas – Custos Variáveis – Despesas Variáveis.</w:t>
            </w:r>
          </w:p>
        </w:tc>
      </w:tr>
      <w:tr w:rsidR="00A46072" w14:paraId="5109B9B3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97E8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Custos fixos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83AF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Custo do ponto, aluguel/ocupação, funcionários operacionais, manutenção preventiva, segurança, limpeza, conservação, conectividade e seguros.</w:t>
            </w:r>
          </w:p>
        </w:tc>
      </w:tr>
      <w:tr w:rsidR="00A46072" w14:paraId="06AE491D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DBCB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Despesas fixas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FDCC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Contabilidade, sistemas de informação, administração, jurídico, gestão financeira, despesas bancárias fixas e assessorias extras.</w:t>
            </w:r>
          </w:p>
        </w:tc>
      </w:tr>
      <w:tr w:rsidR="00A46072" w14:paraId="09223C50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9461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Resultado líquido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4BF1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Margem de Contribuição – Custos Fixos – Despesas Fixas.</w:t>
            </w:r>
          </w:p>
        </w:tc>
      </w:tr>
    </w:tbl>
    <w:p w14:paraId="017081CA" w14:textId="77777777" w:rsidR="00A46072" w:rsidRDefault="00A46072">
      <w:pPr>
        <w:spacing w:after="40"/>
      </w:pPr>
    </w:p>
    <w:p w14:paraId="542FC2C0" w14:textId="77777777" w:rsidR="00A46072" w:rsidRDefault="00000000">
      <w:pPr>
        <w:pStyle w:val="Ttulo1"/>
      </w:pPr>
      <w:r>
        <w:t>8. Investimentos</w:t>
      </w:r>
    </w:p>
    <w:tbl>
      <w:tblPr>
        <w:tblW w:w="9360" w:type="dxa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A46072" w14:paraId="2738316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2B93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Grupo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73F4" w14:textId="77777777" w:rsidR="00A46072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Componentes</w:t>
            </w:r>
          </w:p>
        </w:tc>
      </w:tr>
      <w:tr w:rsidR="00A46072" w14:paraId="0A02FACE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2D7C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Investimento inicial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CB90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Taxa de franquia, equipamentos de recarga, instalação, infraestrutura elétrica, adequação do ponto, comunicação visual, software obrigatório, treinamento inicial, capital de giro, licenças, seguros e autorizações.</w:t>
            </w:r>
          </w:p>
        </w:tc>
      </w:tr>
      <w:tr w:rsidR="00A46072" w14:paraId="680F4940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59C0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Investimentos evolutivos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E07A" w14:textId="77777777" w:rsidR="00A46072" w:rsidRDefault="00000000">
            <w:pPr>
              <w:spacing w:after="0" w:line="252" w:lineRule="auto"/>
            </w:pPr>
            <w:r>
              <w:rPr>
                <w:sz w:val="19"/>
              </w:rPr>
              <w:t>Geração própria, BESS, containers comerciais, expansão de carregadores, upgrades tecnológicos, ampliação de capacidade elétrica e novos módulos operacionais ou comerciais.</w:t>
            </w:r>
          </w:p>
        </w:tc>
      </w:tr>
    </w:tbl>
    <w:p w14:paraId="2D7A02CA" w14:textId="77777777" w:rsidR="00A46072" w:rsidRDefault="00A46072">
      <w:pPr>
        <w:spacing w:after="40"/>
      </w:pPr>
    </w:p>
    <w:p w14:paraId="3CC9DC25" w14:textId="77777777" w:rsidR="00A46072" w:rsidRDefault="00000000">
      <w:pPr>
        <w:pStyle w:val="Ttulo1"/>
      </w:pPr>
      <w:r>
        <w:lastRenderedPageBreak/>
        <w:t>9. Análise de viabilidade</w:t>
      </w:r>
    </w:p>
    <w:tbl>
      <w:tblPr>
        <w:tblW w:w="9360" w:type="dxa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46072" w14:paraId="6E6E399E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0F4C56" w14:textId="77777777" w:rsidR="00A46072" w:rsidRDefault="00000000">
            <w:pPr>
              <w:spacing w:after="60"/>
            </w:pPr>
            <w:r>
              <w:rPr>
                <w:b/>
                <w:color w:val="0B2545"/>
              </w:rPr>
              <w:t>Premissa jurídica e comercial</w:t>
            </w:r>
          </w:p>
          <w:p w14:paraId="10F0515E" w14:textId="77777777" w:rsidR="00A46072" w:rsidRDefault="00000000">
            <w:pPr>
              <w:spacing w:after="0"/>
            </w:pPr>
            <w:r>
              <w:rPr>
                <w:sz w:val="21"/>
              </w:rPr>
              <w:t>A franqueadora não emitirá parecer, aprovação, reprovação, recomendação final ou garantia de resultado sobre a viabilidade do negócio. A decisão será exclusivamente do franqueado.</w:t>
            </w:r>
          </w:p>
        </w:tc>
      </w:tr>
    </w:tbl>
    <w:p w14:paraId="15A564A0" w14:textId="77777777" w:rsidR="00A46072" w:rsidRDefault="00A46072">
      <w:pPr>
        <w:spacing w:after="40"/>
      </w:pPr>
    </w:p>
    <w:p w14:paraId="05121C47" w14:textId="77777777" w:rsidR="00A46072" w:rsidRDefault="00000000">
      <w:r>
        <w:t>A Poly Chargers poderá fornecer metodologia, perguntas orientadoras, parâmetros de referência, informações técnicas e assessoria para que o franqueado faça suas próprias contas e análises.</w:t>
      </w:r>
    </w:p>
    <w:p w14:paraId="22D39494" w14:textId="77777777" w:rsidR="00A46072" w:rsidRDefault="00000000">
      <w:r>
        <w:t>A avaliação deverá considerar aspectos comerciais, técnicos, energéticos, financeiros e operacionais.</w:t>
      </w:r>
    </w:p>
    <w:p w14:paraId="29F7C1DE" w14:textId="77777777" w:rsidR="00A46072" w:rsidRDefault="00000000">
      <w:pPr>
        <w:pStyle w:val="Ttulo1"/>
      </w:pPr>
      <w:r>
        <w:t>10. Implantação e operação</w:t>
      </w:r>
    </w:p>
    <w:p w14:paraId="20D51BCC" w14:textId="77777777" w:rsidR="00A46072" w:rsidRDefault="00000000">
      <w:r>
        <w:t>Após decidir seguir com o investimento, o franqueado inicia a jornada de implantação: formalização da franquia, definição de escopo, estruturação financeira, aquisição de equipamentos e módulos, preparação do ponto, instalação, configuração, treinamento e operação assistida.</w:t>
      </w:r>
    </w:p>
    <w:p w14:paraId="2A9812CA" w14:textId="77777777" w:rsidR="00A46072" w:rsidRDefault="00000000">
      <w:r>
        <w:t>Na operação, o franqueado responde pela gestão local, equipe, atendimento, controles financeiros e execução dos padrões. A franqueadora atua com metodologia, processos, assessorias, rede de parceiros, equipamentos homologados e apoio de padronização.</w:t>
      </w:r>
    </w:p>
    <w:p w14:paraId="27159345" w14:textId="77777777" w:rsidR="00A46072" w:rsidRDefault="00000000">
      <w:r>
        <w:t>Os processos obrigatórios terão foco em padronização, qualidade operacional, atendimento, uso dos sistemas, manutenção preventiva, acionamento de assistência técnica, segurança, prestação de informações e conformidade com a marca.</w:t>
      </w:r>
    </w:p>
    <w:p w14:paraId="01BF8747" w14:textId="77777777" w:rsidR="00A46072" w:rsidRDefault="00000000">
      <w:pPr>
        <w:pStyle w:val="Ttulo1"/>
      </w:pPr>
      <w:r>
        <w:t>11. Pontos pendentes para refinamento</w:t>
      </w:r>
    </w:p>
    <w:p w14:paraId="2BB54DAA" w14:textId="77777777" w:rsidR="00A46072" w:rsidRDefault="00000000">
      <w:pPr>
        <w:pStyle w:val="Commarcadores"/>
        <w:spacing w:after="60"/>
        <w:ind w:left="720"/>
      </w:pPr>
      <w:r>
        <w:t>Indicadores econômicos e operacionais.</w:t>
      </w:r>
    </w:p>
    <w:p w14:paraId="6571464E" w14:textId="77777777" w:rsidR="00A46072" w:rsidRDefault="00000000">
      <w:pPr>
        <w:pStyle w:val="Commarcadores"/>
        <w:spacing w:after="60"/>
        <w:ind w:left="720"/>
      </w:pPr>
      <w:r>
        <w:t>Valores da taxa de franquia.</w:t>
      </w:r>
    </w:p>
    <w:p w14:paraId="45A2FD1F" w14:textId="77777777" w:rsidR="00A46072" w:rsidRDefault="00000000">
      <w:pPr>
        <w:pStyle w:val="Commarcadores"/>
        <w:spacing w:after="60"/>
        <w:ind w:left="720"/>
      </w:pPr>
      <w:r>
        <w:t>Percentuais de royalties e verba de marketing.</w:t>
      </w:r>
    </w:p>
    <w:p w14:paraId="18D55F7D" w14:textId="77777777" w:rsidR="00A46072" w:rsidRDefault="00000000">
      <w:pPr>
        <w:pStyle w:val="Commarcadores"/>
        <w:spacing w:after="60"/>
        <w:ind w:left="720"/>
      </w:pPr>
      <w:r>
        <w:t>Estrutura detalhada do financiamento próprio.</w:t>
      </w:r>
    </w:p>
    <w:p w14:paraId="4CBCEDFD" w14:textId="77777777" w:rsidR="00A46072" w:rsidRDefault="00000000">
      <w:pPr>
        <w:pStyle w:val="Commarcadores"/>
        <w:spacing w:after="60"/>
        <w:ind w:left="720"/>
      </w:pPr>
      <w:r>
        <w:t>Valores dos equipamentos.</w:t>
      </w:r>
    </w:p>
    <w:p w14:paraId="0702E9DE" w14:textId="77777777" w:rsidR="00A46072" w:rsidRDefault="00000000">
      <w:pPr>
        <w:pStyle w:val="Commarcadores"/>
        <w:spacing w:after="60"/>
        <w:ind w:left="720"/>
      </w:pPr>
      <w:r>
        <w:t>Premissas de demanda e utilização.</w:t>
      </w:r>
    </w:p>
    <w:p w14:paraId="15D28CCB" w14:textId="77777777" w:rsidR="00A46072" w:rsidRDefault="00000000">
      <w:pPr>
        <w:pStyle w:val="Commarcadores"/>
        <w:spacing w:after="60"/>
        <w:ind w:left="720"/>
      </w:pPr>
      <w:r>
        <w:t>Cenários financeiros e payback.</w:t>
      </w:r>
    </w:p>
    <w:p w14:paraId="4970027D" w14:textId="77777777" w:rsidR="00A46072" w:rsidRDefault="00000000">
      <w:pPr>
        <w:pStyle w:val="Commarcadores"/>
        <w:spacing w:after="60"/>
        <w:ind w:left="720"/>
      </w:pPr>
      <w:r>
        <w:t>Detalhamento dos módulos adicionais.</w:t>
      </w:r>
    </w:p>
    <w:p w14:paraId="691C5ED5" w14:textId="77777777" w:rsidR="00A46072" w:rsidRDefault="00000000">
      <w:pPr>
        <w:pStyle w:val="Commarcadores"/>
        <w:spacing w:after="60"/>
        <w:ind w:left="720"/>
      </w:pPr>
      <w:r>
        <w:t>Regras para contratos corporativos negociados em bloco.</w:t>
      </w:r>
    </w:p>
    <w:p w14:paraId="006F0107" w14:textId="77777777" w:rsidR="00A46072" w:rsidRDefault="00000000">
      <w:pPr>
        <w:pStyle w:val="Commarcadores"/>
        <w:spacing w:after="60"/>
        <w:ind w:left="720"/>
      </w:pPr>
      <w:r>
        <w:t>Regras de governança entre franqueadora e franqueados.</w:t>
      </w:r>
    </w:p>
    <w:p w14:paraId="6A09524D" w14:textId="44FDE8A4" w:rsidR="00A46072" w:rsidRDefault="00000000">
      <w:pPr>
        <w:pStyle w:val="Ttulo1"/>
      </w:pPr>
      <w:r>
        <w:t>1</w:t>
      </w:r>
      <w:r w:rsidR="009F21B5">
        <w:t>2</w:t>
      </w:r>
      <w:r>
        <w:t>. Próximo passo recomendado</w:t>
      </w:r>
    </w:p>
    <w:p w14:paraId="02A74498" w14:textId="77777777" w:rsidR="00A46072" w:rsidRDefault="00000000">
      <w:pPr>
        <w:pStyle w:val="Numerada"/>
        <w:spacing w:after="60"/>
        <w:ind w:left="720"/>
      </w:pPr>
      <w:r>
        <w:t>Coletar contribuições dos pares.</w:t>
      </w:r>
    </w:p>
    <w:p w14:paraId="65FF2EEB" w14:textId="77777777" w:rsidR="00A46072" w:rsidRDefault="00000000">
      <w:pPr>
        <w:pStyle w:val="Numerada"/>
        <w:spacing w:after="60"/>
        <w:ind w:left="720"/>
      </w:pPr>
      <w:r>
        <w:t>Ajustar os pontos conceituais.</w:t>
      </w:r>
    </w:p>
    <w:p w14:paraId="09B7D3F4" w14:textId="77777777" w:rsidR="00A46072" w:rsidRDefault="00000000">
      <w:pPr>
        <w:pStyle w:val="Numerada"/>
        <w:spacing w:after="60"/>
        <w:ind w:left="720"/>
      </w:pPr>
      <w:r>
        <w:t>Definir premissas financeiras mínimas.</w:t>
      </w:r>
    </w:p>
    <w:p w14:paraId="6C4AF54E" w14:textId="73EFE2CE" w:rsidR="00A46072" w:rsidRDefault="00000000">
      <w:pPr>
        <w:pStyle w:val="Numerada"/>
        <w:spacing w:after="60"/>
        <w:ind w:left="720"/>
      </w:pPr>
      <w:r>
        <w:lastRenderedPageBreak/>
        <w:t xml:space="preserve">Imputar </w:t>
      </w:r>
      <w:proofErr w:type="spellStart"/>
      <w:r>
        <w:t>os</w:t>
      </w:r>
      <w:proofErr w:type="spellEnd"/>
      <w:r>
        <w:t xml:space="preserve"> dados no APP</w:t>
      </w:r>
      <w:r w:rsidR="009F21B5">
        <w:t xml:space="preserve"> Versus</w:t>
      </w:r>
      <w:r>
        <w:t>.</w:t>
      </w:r>
    </w:p>
    <w:p w14:paraId="12B19DFC" w14:textId="77777777" w:rsidR="00A46072" w:rsidRDefault="00000000">
      <w:pPr>
        <w:pStyle w:val="Numerada"/>
        <w:spacing w:after="60"/>
        <w:ind w:left="720"/>
      </w:pPr>
      <w:r>
        <w:t>Evoluir a modelagem financeira com cenários.</w:t>
      </w:r>
    </w:p>
    <w:p w14:paraId="43068EB5" w14:textId="77777777" w:rsidR="00A46072" w:rsidRDefault="00000000">
      <w:pPr>
        <w:pStyle w:val="Numerada"/>
        <w:spacing w:after="60"/>
        <w:ind w:left="720"/>
      </w:pPr>
      <w:r>
        <w:t>Depois avançar para o plano da franquia/franqueadora.</w:t>
      </w:r>
    </w:p>
    <w:sectPr w:rsidR="00A4607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8BCAE" w14:textId="77777777" w:rsidR="0004713C" w:rsidRDefault="0004713C">
      <w:pPr>
        <w:spacing w:after="0" w:line="240" w:lineRule="auto"/>
      </w:pPr>
      <w:r>
        <w:separator/>
      </w:r>
    </w:p>
  </w:endnote>
  <w:endnote w:type="continuationSeparator" w:id="0">
    <w:p w14:paraId="0C3D1B06" w14:textId="77777777" w:rsidR="0004713C" w:rsidRDefault="00047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1EEE" w14:textId="77777777" w:rsidR="00A46072" w:rsidRDefault="00000000">
    <w:pPr>
      <w:pStyle w:val="Rodap"/>
      <w:jc w:val="right"/>
    </w:pPr>
    <w:r>
      <w:rPr>
        <w:color w:val="595959"/>
        <w:sz w:val="16"/>
      </w:rPr>
      <w:t xml:space="preserve">Poly Chargers | Plano de </w:t>
    </w:r>
    <w:proofErr w:type="spellStart"/>
    <w:r>
      <w:rPr>
        <w:color w:val="595959"/>
        <w:sz w:val="16"/>
      </w:rPr>
      <w:t>Negócios</w:t>
    </w:r>
    <w:proofErr w:type="spellEnd"/>
    <w:r>
      <w:rPr>
        <w:color w:val="595959"/>
        <w:sz w:val="16"/>
      </w:rPr>
      <w:t xml:space="preserve"> do </w:t>
    </w:r>
    <w:proofErr w:type="spellStart"/>
    <w:r>
      <w:rPr>
        <w:color w:val="595959"/>
        <w:sz w:val="16"/>
      </w:rPr>
      <w:t>Franqueado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07BA6" w14:textId="77777777" w:rsidR="0004713C" w:rsidRDefault="0004713C">
      <w:pPr>
        <w:spacing w:after="0" w:line="240" w:lineRule="auto"/>
      </w:pPr>
      <w:r>
        <w:separator/>
      </w:r>
    </w:p>
  </w:footnote>
  <w:footnote w:type="continuationSeparator" w:id="0">
    <w:p w14:paraId="22F37AE0" w14:textId="77777777" w:rsidR="0004713C" w:rsidRDefault="00047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516D" w14:textId="77777777" w:rsidR="00A46072" w:rsidRDefault="00000000">
    <w:pPr>
      <w:pStyle w:val="Cabealho"/>
      <w:jc w:val="right"/>
    </w:pPr>
    <w:proofErr w:type="spellStart"/>
    <w:r>
      <w:rPr>
        <w:color w:val="595959"/>
        <w:sz w:val="17"/>
      </w:rPr>
      <w:t>Relatório</w:t>
    </w:r>
    <w:proofErr w:type="spellEnd"/>
    <w:r>
      <w:rPr>
        <w:color w:val="595959"/>
        <w:sz w:val="17"/>
      </w:rPr>
      <w:t xml:space="preserve"> </w:t>
    </w:r>
    <w:proofErr w:type="spellStart"/>
    <w:r>
      <w:rPr>
        <w:color w:val="595959"/>
        <w:sz w:val="17"/>
      </w:rPr>
      <w:t>executivo</w:t>
    </w:r>
    <w:proofErr w:type="spellEnd"/>
    <w:r>
      <w:rPr>
        <w:color w:val="595959"/>
        <w:sz w:val="17"/>
      </w:rPr>
      <w:t xml:space="preserve"> para </w:t>
    </w:r>
    <w:proofErr w:type="spellStart"/>
    <w:r>
      <w:rPr>
        <w:color w:val="595959"/>
        <w:sz w:val="17"/>
      </w:rPr>
      <w:t>análise</w:t>
    </w:r>
    <w:proofErr w:type="spellEnd"/>
    <w:r>
      <w:rPr>
        <w:color w:val="595959"/>
        <w:sz w:val="17"/>
      </w:rPr>
      <w:t xml:space="preserve"> dos pares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608936">
    <w:abstractNumId w:val="8"/>
  </w:num>
  <w:num w:numId="2" w16cid:durableId="1033192204">
    <w:abstractNumId w:val="6"/>
  </w:num>
  <w:num w:numId="3" w16cid:durableId="721293750">
    <w:abstractNumId w:val="5"/>
  </w:num>
  <w:num w:numId="4" w16cid:durableId="1846629432">
    <w:abstractNumId w:val="4"/>
  </w:num>
  <w:num w:numId="5" w16cid:durableId="1805345765">
    <w:abstractNumId w:val="7"/>
  </w:num>
  <w:num w:numId="6" w16cid:durableId="1435175562">
    <w:abstractNumId w:val="3"/>
  </w:num>
  <w:num w:numId="7" w16cid:durableId="222840898">
    <w:abstractNumId w:val="2"/>
  </w:num>
  <w:num w:numId="8" w16cid:durableId="1269704660">
    <w:abstractNumId w:val="1"/>
  </w:num>
  <w:num w:numId="9" w16cid:durableId="174086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3C"/>
    <w:rsid w:val="0006063C"/>
    <w:rsid w:val="0015074B"/>
    <w:rsid w:val="0029639D"/>
    <w:rsid w:val="00326F90"/>
    <w:rsid w:val="009F21B5"/>
    <w:rsid w:val="00A46072"/>
    <w:rsid w:val="00AA1D8D"/>
    <w:rsid w:val="00B47730"/>
    <w:rsid w:val="00C239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DAA3A"/>
  <w14:defaultImageDpi w14:val="300"/>
  <w15:docId w15:val="{D5227A91-B63C-4F6F-9AF5-3751B919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926</Words>
  <Characters>6118</Characters>
  <Application>Microsoft Office Word</Application>
  <DocSecurity>0</DocSecurity>
  <Lines>156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— Plano de Negócios do Franqueado Poly Chargers</dc:title>
  <dc:subject>Versão direta para análise dos pares</dc:subject>
  <dc:creator>Gestão Versus / Codex</dc:creator>
  <cp:keywords/>
  <dc:description>generated by python-docx</dc:description>
  <cp:lastModifiedBy>Fabiano Ferreira</cp:lastModifiedBy>
  <cp:revision>2</cp:revision>
  <dcterms:created xsi:type="dcterms:W3CDTF">2013-12-23T23:15:00Z</dcterms:created>
  <dcterms:modified xsi:type="dcterms:W3CDTF">2026-07-03T23:28:00Z</dcterms:modified>
  <cp:category/>
</cp:coreProperties>
</file>