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00000"/>
          <w:sz w:val="46"/>
        </w:rPr>
        <w:t>RELATÓRIO EXECUTIVO</w:t>
      </w:r>
    </w:p>
    <w:p>
      <w:pPr>
        <w:spacing w:after="280"/>
      </w:pPr>
      <w:r>
        <w:rPr>
          <w:rFonts w:ascii="Calibri" w:hAnsi="Calibri"/>
          <w:color w:val="595959"/>
          <w:sz w:val="28"/>
        </w:rPr>
        <w:t>Plano de Negócios do Franqueado — Poly Chargers</w:t>
      </w:r>
    </w:p>
    <w:p>
      <w:pPr>
        <w:spacing w:after="40"/>
      </w:pPr>
      <w:r>
        <w:rPr>
          <w:rFonts w:ascii="Calibri" w:hAnsi="Calibri"/>
          <w:b/>
        </w:rPr>
        <w:t xml:space="preserve">Destinatários: </w:t>
      </w:r>
      <w:r>
        <w:rPr>
          <w:rFonts w:ascii="Calibri" w:hAnsi="Calibri"/>
        </w:rPr>
        <w:t>Pares e lideranças envolvidas na análise estratégica</w:t>
      </w:r>
    </w:p>
    <w:p>
      <w:pPr>
        <w:spacing w:after="40"/>
      </w:pPr>
      <w:r>
        <w:rPr>
          <w:rFonts w:ascii="Calibri" w:hAnsi="Calibri"/>
          <w:b/>
        </w:rPr>
        <w:t xml:space="preserve">Empresa: </w:t>
      </w:r>
      <w:r>
        <w:rPr>
          <w:rFonts w:ascii="Calibri" w:hAnsi="Calibri"/>
        </w:rPr>
        <w:t>AY — Poly Chargers</w:t>
      </w:r>
    </w:p>
    <w:p>
      <w:pPr>
        <w:spacing w:after="40"/>
      </w:pPr>
      <w:r>
        <w:rPr>
          <w:rFonts w:ascii="Calibri" w:hAnsi="Calibri"/>
          <w:b/>
        </w:rPr>
        <w:t xml:space="preserve">Perspectiva: </w:t>
      </w:r>
      <w:r>
        <w:rPr>
          <w:rFonts w:ascii="Calibri" w:hAnsi="Calibri"/>
        </w:rPr>
        <w:t>Franqueado</w:t>
      </w:r>
    </w:p>
    <w:p>
      <w:pPr>
        <w:spacing w:after="40"/>
      </w:pPr>
      <w:r>
        <w:rPr>
          <w:rFonts w:ascii="Calibri" w:hAnsi="Calibri"/>
          <w:b/>
        </w:rPr>
        <w:t xml:space="preserve">Finalidade: </w:t>
      </w:r>
      <w:r>
        <w:rPr>
          <w:rFonts w:ascii="Calibri" w:hAnsi="Calibri"/>
        </w:rPr>
        <w:t>Consolidar a estrutura conceitual para análise, contribuições e posterior imputação no APP32</w:t>
      </w:r>
    </w:p>
    <w:p>
      <w:pPr>
        <w:spacing w:after="40"/>
      </w:pPr>
      <w:r>
        <w:rPr>
          <w:rFonts w:ascii="Calibri" w:hAnsi="Calibri"/>
          <w:b/>
        </w:rPr>
        <w:t xml:space="preserve">Data: </w:t>
      </w:r>
      <w:r>
        <w:rPr>
          <w:rFonts w:ascii="Calibri" w:hAnsi="Calibri"/>
        </w:rPr>
        <w:t>03/07/2026</w:t>
      </w:r>
    </w:p>
    <w:p>
      <w:pPr>
        <w:pBdr>
          <w:bottom w:val="single" w:sz="8" w:space="4" w:color="2E74B5"/>
        </w:pBdr>
      </w:pPr>
    </w:p>
    <w:tbl>
      <w:tblPr>
        <w:tblW w:type="dxa" w:w="9360"/>
        <w:jc w:val="center"/>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F4F6F9"/>
            <w:tcMar>
              <w:top w:w="140" w:type="dxa"/>
              <w:start w:w="180" w:type="dxa"/>
              <w:bottom w:w="140" w:type="dxa"/>
              <w:end w:w="180" w:type="dxa"/>
            </w:tcMar>
          </w:tcPr>
          <w:p>
            <w:pPr>
              <w:spacing w:after="80"/>
            </w:pPr>
            <w:r>
              <w:rPr>
                <w:rFonts w:ascii="Calibri" w:hAnsi="Calibri"/>
                <w:b/>
                <w:color w:val="0B2545"/>
              </w:rPr>
              <w:t>Síntese executiva</w:t>
            </w:r>
          </w:p>
          <w:p>
            <w:pPr>
              <w:spacing w:after="0"/>
            </w:pPr>
            <w:r>
              <w:rPr>
                <w:rFonts w:ascii="Calibri" w:hAnsi="Calibri"/>
                <w:sz w:val="21"/>
              </w:rPr>
              <w:t>A proposta construída posiciona a Poly Chargers como uma plataforma modular de negócios de energia, recarga e receitas adjacentes, permitindo que empreendedores ingressem no mercado de eletropostos por meio de franquia, com processos, assessorias, tecnologia, financiamento próprio e módulos evolutivos.</w:t>
            </w:r>
          </w:p>
        </w:tc>
      </w:tr>
    </w:tbl>
    <w:p>
      <w:pPr>
        <w:spacing w:after="40"/>
      </w:pPr>
    </w:p>
    <w:p>
      <w:pPr>
        <w:pStyle w:val="Heading1"/>
      </w:pPr>
      <w:r>
        <w:t>Sumário executivo</w:t>
      </w:r>
    </w:p>
    <w:p>
      <w:pPr>
        <w:pStyle w:val="ListBullet"/>
        <w:spacing w:after="80" w:line="280" w:lineRule="auto"/>
        <w:ind w:left="720" w:hanging="360"/>
      </w:pPr>
      <w:r>
        <w:rPr>
          <w:rFonts w:ascii="Calibri" w:hAnsi="Calibri"/>
        </w:rPr>
        <w:t>1. Objetivo e perspectiva adotada</w:t>
      </w:r>
    </w:p>
    <w:p>
      <w:pPr>
        <w:pStyle w:val="ListBullet"/>
        <w:spacing w:after="80" w:line="280" w:lineRule="auto"/>
        <w:ind w:left="720" w:hanging="360"/>
      </w:pPr>
      <w:r>
        <w:rPr>
          <w:rFonts w:ascii="Calibri" w:hAnsi="Calibri"/>
        </w:rPr>
        <w:t>2. Tese central e obrigações do franqueado</w:t>
      </w:r>
    </w:p>
    <w:p>
      <w:pPr>
        <w:pStyle w:val="ListBullet"/>
        <w:spacing w:after="80" w:line="280" w:lineRule="auto"/>
        <w:ind w:left="720" w:hanging="360"/>
      </w:pPr>
      <w:r>
        <w:rPr>
          <w:rFonts w:ascii="Calibri" w:hAnsi="Calibri"/>
        </w:rPr>
        <w:t>3. Contrapartidas da franqueadora</w:t>
      </w:r>
    </w:p>
    <w:p>
      <w:pPr>
        <w:pStyle w:val="ListBullet"/>
        <w:spacing w:after="80" w:line="280" w:lineRule="auto"/>
        <w:ind w:left="720" w:hanging="360"/>
      </w:pPr>
      <w:r>
        <w:rPr>
          <w:rFonts w:ascii="Calibri" w:hAnsi="Calibri"/>
        </w:rPr>
        <w:t>4. Proposta de valor econômica</w:t>
      </w:r>
    </w:p>
    <w:p>
      <w:pPr>
        <w:pStyle w:val="ListBullet"/>
        <w:spacing w:after="80" w:line="280" w:lineRule="auto"/>
        <w:ind w:left="720" w:hanging="360"/>
      </w:pPr>
      <w:r>
        <w:rPr>
          <w:rFonts w:ascii="Calibri" w:hAnsi="Calibri"/>
        </w:rPr>
        <w:t>5. Portfólio modular da franquia</w:t>
      </w:r>
    </w:p>
    <w:p>
      <w:pPr>
        <w:pStyle w:val="ListBullet"/>
        <w:spacing w:after="80" w:line="280" w:lineRule="auto"/>
        <w:ind w:left="720" w:hanging="360"/>
      </w:pPr>
      <w:r>
        <w:rPr>
          <w:rFonts w:ascii="Calibri" w:hAnsi="Calibri"/>
        </w:rPr>
        <w:t>6. Fontes de receita e estrutura econômica</w:t>
      </w:r>
    </w:p>
    <w:p>
      <w:pPr>
        <w:pStyle w:val="ListBullet"/>
        <w:spacing w:after="80" w:line="280" w:lineRule="auto"/>
        <w:ind w:left="720" w:hanging="360"/>
      </w:pPr>
      <w:r>
        <w:rPr>
          <w:rFonts w:ascii="Calibri" w:hAnsi="Calibri"/>
        </w:rPr>
        <w:t>7. Investimentos</w:t>
      </w:r>
    </w:p>
    <w:p>
      <w:pPr>
        <w:pStyle w:val="ListBullet"/>
        <w:spacing w:after="80" w:line="280" w:lineRule="auto"/>
        <w:ind w:left="720" w:hanging="360"/>
      </w:pPr>
      <w:r>
        <w:rPr>
          <w:rFonts w:ascii="Calibri" w:hAnsi="Calibri"/>
        </w:rPr>
        <w:t>8. Análise de viabilidade e execução</w:t>
      </w:r>
    </w:p>
    <w:p>
      <w:pPr>
        <w:pStyle w:val="ListBullet"/>
        <w:spacing w:after="80" w:line="280" w:lineRule="auto"/>
        <w:ind w:left="720" w:hanging="360"/>
      </w:pPr>
      <w:r>
        <w:rPr>
          <w:rFonts w:ascii="Calibri" w:hAnsi="Calibri"/>
        </w:rPr>
        <w:t>9. Pontos pendentes e questões para os pares</w:t>
      </w:r>
    </w:p>
    <w:p>
      <w:pPr>
        <w:pStyle w:val="ListBullet"/>
        <w:spacing w:after="80" w:line="280" w:lineRule="auto"/>
        <w:ind w:left="720" w:hanging="360"/>
      </w:pPr>
      <w:r>
        <w:rPr>
          <w:rFonts w:ascii="Calibri" w:hAnsi="Calibri"/>
        </w:rPr>
        <w:t>10. Próximo passo recomendado</w:t>
      </w:r>
    </w:p>
    <w:p>
      <w:r>
        <w:br w:type="page"/>
      </w:r>
    </w:p>
    <w:p>
      <w:pPr>
        <w:pStyle w:val="Heading1"/>
      </w:pPr>
      <w:r>
        <w:t>1. Objetivo e perspectiva adotada</w:t>
      </w:r>
    </w:p>
    <w:p>
      <w:pPr>
        <w:spacing w:after="120" w:line="264" w:lineRule="auto"/>
      </w:pPr>
      <w:r>
        <w:rPr>
          <w:rFonts w:ascii="Calibri" w:hAnsi="Calibri"/>
        </w:rPr>
        <w:t>Este relatório consolida a primeira estrutura conceitual do Plano de Negócios do Franqueado Poly Chargers, construída a partir do plano estratégico original da empresa e reinterpretada sob a perspectiva do empreendedor que deseja ingressar no mercado de eletropostos por meio de uma franquia.</w:t>
      </w:r>
    </w:p>
    <w:p>
      <w:pPr>
        <w:spacing w:after="120" w:line="264" w:lineRule="auto"/>
      </w:pPr>
      <w:r>
        <w:rPr>
          <w:rFonts w:ascii="Calibri" w:hAnsi="Calibri"/>
        </w:rPr>
        <w:t>O objetivo é apresentar aos pares a lógica do modelo, colher contribuições e validar perspectivas antes de avançar para a imputação e detalhamento no APP32.</w:t>
      </w:r>
    </w:p>
    <w:tbl>
      <w:tblPr>
        <w:tblW w:type="dxa" w:w="9360"/>
        <w:jc w:val="center"/>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F4F6F9"/>
            <w:tcMar>
              <w:top w:w="140" w:type="dxa"/>
              <w:start w:w="180" w:type="dxa"/>
              <w:bottom w:w="140" w:type="dxa"/>
              <w:end w:w="180" w:type="dxa"/>
            </w:tcMar>
          </w:tcPr>
          <w:p>
            <w:pPr>
              <w:spacing w:after="80"/>
            </w:pPr>
            <w:r>
              <w:rPr>
                <w:rFonts w:ascii="Calibri" w:hAnsi="Calibri"/>
                <w:b/>
                <w:color w:val="0B2545"/>
              </w:rPr>
              <w:t>Perspectiva adotada</w:t>
            </w:r>
          </w:p>
          <w:p>
            <w:pPr>
              <w:spacing w:after="0"/>
            </w:pPr>
            <w:r>
              <w:rPr>
                <w:rFonts w:ascii="Calibri" w:hAnsi="Calibri"/>
                <w:sz w:val="21"/>
              </w:rPr>
              <w:t>Empreendedor que deseja adentrar no negócio de recarga de carros elétricos — eletropostos — por meio de um modelo de franquia Poly Chargers.</w:t>
            </w:r>
          </w:p>
        </w:tc>
      </w:tr>
    </w:tbl>
    <w:p>
      <w:pPr>
        <w:spacing w:after="40"/>
      </w:pPr>
    </w:p>
    <w:p>
      <w:pPr>
        <w:spacing w:after="120" w:line="264" w:lineRule="auto"/>
      </w:pPr>
      <w:r>
        <w:rPr>
          <w:rFonts w:ascii="Calibri" w:hAnsi="Calibri"/>
        </w:rPr>
        <w:t>Importante: o franqueado não foi tratado como revendedor ou instalador. Ele é o empreendedor/investidor que compra os equipamentos, adere à franquia, implanta a unidade e opera o negócio conforme os padrões da rede.</w:t>
      </w:r>
    </w:p>
    <w:p>
      <w:pPr>
        <w:pStyle w:val="Heading1"/>
      </w:pPr>
      <w:r>
        <w:t>2. Tese central e obrigações do franqueado</w:t>
      </w:r>
    </w:p>
    <w:p>
      <w:pPr>
        <w:spacing w:after="120" w:line="264" w:lineRule="auto"/>
      </w:pPr>
      <w:r>
        <w:rPr>
          <w:rFonts w:ascii="Calibri" w:hAnsi="Calibri"/>
        </w:rPr>
        <w:t>A franquia Poly Chargers busca permitir que empreendedores ingressem no mercado de eletropostos com uma estrutura mais organizada, tecnológica e assistida do que se entrassem sozinhos.</w:t>
      </w:r>
    </w:p>
    <w:tbl>
      <w:tblPr>
        <w:tblW w:type="dxa" w:w="9360"/>
        <w:jc w:val="center"/>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F4F6F9"/>
            <w:tcMar>
              <w:top w:w="140" w:type="dxa"/>
              <w:start w:w="180" w:type="dxa"/>
              <w:bottom w:w="140" w:type="dxa"/>
              <w:end w:w="180" w:type="dxa"/>
            </w:tcMar>
          </w:tcPr>
          <w:p>
            <w:pPr>
              <w:spacing w:after="80"/>
            </w:pPr>
            <w:r>
              <w:rPr>
                <w:rFonts w:ascii="Calibri" w:hAnsi="Calibri"/>
                <w:b/>
                <w:color w:val="0B2545"/>
              </w:rPr>
              <w:t>Tese central</w:t>
            </w:r>
          </w:p>
          <w:p>
            <w:pPr>
              <w:spacing w:after="0"/>
            </w:pPr>
            <w:r>
              <w:rPr>
                <w:rFonts w:ascii="Calibri" w:hAnsi="Calibri"/>
                <w:sz w:val="21"/>
              </w:rPr>
              <w:t>O franqueado investe na aquisição dos equipamentos, na adesão à franquia e na operação local, recebendo em contrapartida tecnologia, padrão de processos, assessoria, marketing coletivo, garantia de fábrica, soluções energéticas, módulos adicionais e financiamento próprio pela franqueadora.</w:t>
            </w:r>
          </w:p>
        </w:tc>
      </w:tr>
    </w:tbl>
    <w:p>
      <w:pPr>
        <w:spacing w:after="40"/>
      </w:pPr>
    </w:p>
    <w:p>
      <w:pPr>
        <w:pStyle w:val="Heading2"/>
      </w:pPr>
      <w:r>
        <w:t>Obrigações do franqueado</w:t>
      </w:r>
    </w:p>
    <w:p>
      <w:pPr>
        <w:pStyle w:val="ListNumber"/>
        <w:spacing w:after="80"/>
        <w:ind w:left="720" w:hanging="360"/>
      </w:pPr>
      <w:r>
        <w:rPr>
          <w:rFonts w:ascii="Calibri" w:hAnsi="Calibri"/>
        </w:rPr>
        <w:t>Comprar os equipamentos homologados.</w:t>
      </w:r>
    </w:p>
    <w:p>
      <w:pPr>
        <w:pStyle w:val="ListNumber"/>
        <w:spacing w:after="80"/>
        <w:ind w:left="720" w:hanging="360"/>
      </w:pPr>
      <w:r>
        <w:rPr>
          <w:rFonts w:ascii="Calibri" w:hAnsi="Calibri"/>
        </w:rPr>
        <w:t>Pagar a taxa de franquia.</w:t>
      </w:r>
    </w:p>
    <w:p>
      <w:pPr>
        <w:pStyle w:val="ListNumber"/>
        <w:spacing w:after="80"/>
        <w:ind w:left="720" w:hanging="360"/>
      </w:pPr>
      <w:r>
        <w:rPr>
          <w:rFonts w:ascii="Calibri" w:hAnsi="Calibri"/>
        </w:rPr>
        <w:t>Contratar módulos adicionais, quando aplicável.</w:t>
      </w:r>
    </w:p>
    <w:p>
      <w:pPr>
        <w:pStyle w:val="ListNumber"/>
        <w:spacing w:after="80"/>
        <w:ind w:left="720" w:hanging="360"/>
      </w:pPr>
      <w:r>
        <w:rPr>
          <w:rFonts w:ascii="Calibri" w:hAnsi="Calibri"/>
        </w:rPr>
        <w:t>Pagar royalties.</w:t>
      </w:r>
    </w:p>
    <w:p>
      <w:pPr>
        <w:pStyle w:val="ListNumber"/>
        <w:spacing w:after="80"/>
        <w:ind w:left="720" w:hanging="360"/>
      </w:pPr>
      <w:r>
        <w:rPr>
          <w:rFonts w:ascii="Calibri" w:hAnsi="Calibri"/>
        </w:rPr>
        <w:t>Contribuir com verba de marketing.</w:t>
      </w:r>
    </w:p>
    <w:p>
      <w:pPr>
        <w:pStyle w:val="ListNumber"/>
        <w:spacing w:after="80"/>
        <w:ind w:left="720" w:hanging="360"/>
      </w:pPr>
      <w:r>
        <w:rPr>
          <w:rFonts w:ascii="Calibri" w:hAnsi="Calibri"/>
        </w:rPr>
        <w:t>Executar os processos conforme os padrões da franquia.</w:t>
      </w:r>
    </w:p>
    <w:p>
      <w:pPr>
        <w:pStyle w:val="Heading1"/>
      </w:pPr>
      <w:r>
        <w:t>3. Contrapartidas da franqueadora</w:t>
      </w:r>
    </w:p>
    <w:p>
      <w:pPr>
        <w:pStyle w:val="ListBullet"/>
        <w:spacing w:after="80" w:line="280" w:lineRule="auto"/>
        <w:ind w:left="720" w:hanging="360"/>
      </w:pPr>
      <w:r>
        <w:rPr>
          <w:rFonts w:ascii="Calibri" w:hAnsi="Calibri"/>
        </w:rPr>
        <w:t>padrão de processos definido, testado e estruturado;</w:t>
      </w:r>
    </w:p>
    <w:p>
      <w:pPr>
        <w:pStyle w:val="ListBullet"/>
        <w:spacing w:after="80" w:line="280" w:lineRule="auto"/>
        <w:ind w:left="720" w:hanging="360"/>
      </w:pPr>
      <w:r>
        <w:rPr>
          <w:rFonts w:ascii="Calibri" w:hAnsi="Calibri"/>
        </w:rPr>
        <w:t>participação em uma rede que trabalha marketing, pesquisa e desenvolvimento de forma conjunta;</w:t>
      </w:r>
    </w:p>
    <w:p>
      <w:pPr>
        <w:pStyle w:val="ListBullet"/>
        <w:spacing w:after="80" w:line="280" w:lineRule="auto"/>
        <w:ind w:left="720" w:hanging="360"/>
      </w:pPr>
      <w:r>
        <w:rPr>
          <w:rFonts w:ascii="Calibri" w:hAnsi="Calibri"/>
        </w:rPr>
        <w:t>acesso a equipamentos de última geração e atualizações tecnológicas;</w:t>
      </w:r>
    </w:p>
    <w:p>
      <w:pPr>
        <w:pStyle w:val="ListBullet"/>
        <w:spacing w:after="80" w:line="280" w:lineRule="auto"/>
        <w:ind w:left="720" w:hanging="360"/>
      </w:pPr>
      <w:r>
        <w:rPr>
          <w:rFonts w:ascii="Calibri" w:hAnsi="Calibri"/>
        </w:rPr>
        <w:t>assistência técnica e garantia direta da fábrica chinesa;</w:t>
      </w:r>
    </w:p>
    <w:p>
      <w:pPr>
        <w:pStyle w:val="ListBullet"/>
        <w:spacing w:after="80" w:line="280" w:lineRule="auto"/>
        <w:ind w:left="720" w:hanging="360"/>
      </w:pPr>
      <w:r>
        <w:rPr>
          <w:rFonts w:ascii="Calibri" w:hAnsi="Calibri"/>
        </w:rPr>
        <w:t>assessoria operacional, administrativa-financeira, comercial e de marketing;</w:t>
      </w:r>
    </w:p>
    <w:p>
      <w:pPr>
        <w:pStyle w:val="ListBullet"/>
        <w:spacing w:after="80" w:line="280" w:lineRule="auto"/>
        <w:ind w:left="720" w:hanging="360"/>
      </w:pPr>
      <w:r>
        <w:rPr>
          <w:rFonts w:ascii="Calibri" w:hAnsi="Calibri"/>
        </w:rPr>
        <w:t>financiamento próprio;</w:t>
      </w:r>
    </w:p>
    <w:p>
      <w:pPr>
        <w:pStyle w:val="ListBullet"/>
        <w:spacing w:after="80" w:line="280" w:lineRule="auto"/>
        <w:ind w:left="720" w:hanging="360"/>
      </w:pPr>
      <w:r>
        <w:rPr>
          <w:rFonts w:ascii="Calibri" w:hAnsi="Calibri"/>
        </w:rPr>
        <w:t>rede de parceiros;</w:t>
      </w:r>
    </w:p>
    <w:p>
      <w:pPr>
        <w:pStyle w:val="ListBullet"/>
        <w:spacing w:after="80" w:line="280" w:lineRule="auto"/>
        <w:ind w:left="720" w:hanging="360"/>
      </w:pPr>
      <w:r>
        <w:rPr>
          <w:rFonts w:ascii="Calibri" w:hAnsi="Calibri"/>
        </w:rPr>
        <w:t>soluções de geração própria de energia;</w:t>
      </w:r>
    </w:p>
    <w:p>
      <w:pPr>
        <w:pStyle w:val="ListBullet"/>
        <w:spacing w:after="80" w:line="280" w:lineRule="auto"/>
        <w:ind w:left="720" w:hanging="360"/>
      </w:pPr>
      <w:r>
        <w:rPr>
          <w:rFonts w:ascii="Calibri" w:hAnsi="Calibri"/>
        </w:rPr>
        <w:t>aquisição de energia no mercado livre em bloco;</w:t>
      </w:r>
    </w:p>
    <w:p>
      <w:pPr>
        <w:pStyle w:val="ListBullet"/>
        <w:spacing w:after="80" w:line="280" w:lineRule="auto"/>
        <w:ind w:left="720" w:hanging="360"/>
      </w:pPr>
      <w:r>
        <w:rPr>
          <w:rFonts w:ascii="Calibri" w:hAnsi="Calibri"/>
        </w:rPr>
        <w:t>soluções de armazenamento BESS;</w:t>
      </w:r>
    </w:p>
    <w:p>
      <w:pPr>
        <w:pStyle w:val="ListBullet"/>
        <w:spacing w:after="80" w:line="280" w:lineRule="auto"/>
        <w:ind w:left="720" w:hanging="360"/>
      </w:pPr>
      <w:r>
        <w:rPr>
          <w:rFonts w:ascii="Calibri" w:hAnsi="Calibri"/>
        </w:rPr>
        <w:t>módulos de negócios adjacentes em containers;</w:t>
      </w:r>
    </w:p>
    <w:p>
      <w:pPr>
        <w:pStyle w:val="ListBullet"/>
        <w:spacing w:after="80" w:line="280" w:lineRule="auto"/>
        <w:ind w:left="720" w:hanging="360"/>
      </w:pPr>
      <w:r>
        <w:rPr>
          <w:rFonts w:ascii="Calibri" w:hAnsi="Calibri"/>
        </w:rPr>
        <w:t>acesso a oportunidades corporativas eventualmente negociadas em bloco pela franqueadora.</w:t>
      </w:r>
    </w:p>
    <w:p>
      <w:pPr>
        <w:pStyle w:val="Heading1"/>
      </w:pPr>
      <w:r>
        <w:t>4. Proposta de valor econômica</w:t>
      </w:r>
    </w:p>
    <w:p>
      <w:pPr>
        <w:spacing w:after="120" w:line="264" w:lineRule="auto"/>
      </w:pPr>
      <w:r>
        <w:rPr>
          <w:rFonts w:ascii="Calibri" w:hAnsi="Calibri"/>
        </w:rPr>
        <w:t>O modelo foi evoluído de “franquia de eletroposto” para uma visão mais ampla: a Poly Chargers passa a ser uma plataforma modular de negócios de energia, recarga e receitas adjacentes.</w:t>
      </w:r>
    </w:p>
    <w:tbl>
      <w:tblPr>
        <w:tblW w:type="dxa" w:w="9360"/>
        <w:jc w:val="center"/>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304"/>
            <w:shd w:fill="F2F4F7"/>
            <w:tcMar>
              <w:top w:w="80" w:type="dxa"/>
              <w:start w:w="120" w:type="dxa"/>
              <w:bottom w:w="80" w:type="dxa"/>
              <w:end w:w="120" w:type="dxa"/>
            </w:tcMar>
            <w:vAlign w:val="center"/>
          </w:tcPr>
          <w:p>
            <w:pPr>
              <w:spacing w:after="0"/>
            </w:pPr>
            <w:r>
              <w:rPr>
                <w:rFonts w:ascii="Calibri" w:hAnsi="Calibri"/>
                <w:b/>
                <w:color w:val="0B2545"/>
                <w:sz w:val="20"/>
              </w:rPr>
              <w:t>Pilar</w:t>
            </w:r>
          </w:p>
        </w:tc>
        <w:tc>
          <w:tcPr>
            <w:tcW w:type="dxa" w:w="7056"/>
            <w:shd w:fill="F2F4F7"/>
            <w:tcMar>
              <w:top w:w="80" w:type="dxa"/>
              <w:start w:w="120" w:type="dxa"/>
              <w:bottom w:w="80" w:type="dxa"/>
              <w:end w:w="120" w:type="dxa"/>
            </w:tcMar>
            <w:vAlign w:val="center"/>
          </w:tcPr>
          <w:p>
            <w:pPr>
              <w:spacing w:after="0"/>
            </w:pPr>
            <w:r>
              <w:rPr>
                <w:rFonts w:ascii="Calibri" w:hAnsi="Calibri"/>
                <w:b/>
                <w:color w:val="0B2545"/>
                <w:sz w:val="20"/>
              </w:rPr>
              <w:t>Descrição</w:t>
            </w:r>
          </w:p>
        </w:tc>
      </w:tr>
      <w:tr>
        <w:tc>
          <w:tcPr>
            <w:tcW w:type="dxa" w:w="2304"/>
            <w:tcMar>
              <w:top w:w="80" w:type="dxa"/>
              <w:start w:w="120" w:type="dxa"/>
              <w:bottom w:w="80" w:type="dxa"/>
              <w:end w:w="120" w:type="dxa"/>
            </w:tcMar>
            <w:vAlign w:val="center"/>
          </w:tcPr>
          <w:p>
            <w:pPr>
              <w:spacing w:after="0"/>
            </w:pPr>
            <w:r>
              <w:rPr>
                <w:rFonts w:ascii="Calibri" w:hAnsi="Calibri"/>
                <w:sz w:val="19"/>
              </w:rPr>
              <w:t>Aumentar receitas</w:t>
            </w:r>
          </w:p>
        </w:tc>
        <w:tc>
          <w:tcPr>
            <w:tcW w:type="dxa" w:w="7056"/>
            <w:tcMar>
              <w:top w:w="80" w:type="dxa"/>
              <w:start w:w="120" w:type="dxa"/>
              <w:bottom w:w="80" w:type="dxa"/>
              <w:end w:w="120" w:type="dxa"/>
            </w:tcMar>
            <w:vAlign w:val="center"/>
          </w:tcPr>
          <w:p>
            <w:pPr>
              <w:spacing w:after="0"/>
            </w:pPr>
            <w:r>
              <w:rPr>
                <w:rFonts w:ascii="Calibri" w:hAnsi="Calibri"/>
                <w:sz w:val="19"/>
              </w:rPr>
              <w:t>Recarga elétrica, contratos corporativos, módulos adjacentes, café, lava-jato, conveniência, containers e expansão futura.</w:t>
            </w:r>
          </w:p>
        </w:tc>
      </w:tr>
      <w:tr>
        <w:tc>
          <w:tcPr>
            <w:tcW w:type="dxa" w:w="2304"/>
            <w:tcMar>
              <w:top w:w="80" w:type="dxa"/>
              <w:start w:w="120" w:type="dxa"/>
              <w:bottom w:w="80" w:type="dxa"/>
              <w:end w:w="120" w:type="dxa"/>
            </w:tcMar>
            <w:vAlign w:val="center"/>
          </w:tcPr>
          <w:p>
            <w:pPr>
              <w:spacing w:after="0"/>
            </w:pPr>
            <w:r>
              <w:rPr>
                <w:rFonts w:ascii="Calibri" w:hAnsi="Calibri"/>
                <w:sz w:val="19"/>
              </w:rPr>
              <w:t>Reduzir custos</w:t>
            </w:r>
          </w:p>
        </w:tc>
        <w:tc>
          <w:tcPr>
            <w:tcW w:type="dxa" w:w="7056"/>
            <w:tcMar>
              <w:top w:w="80" w:type="dxa"/>
              <w:start w:w="120" w:type="dxa"/>
              <w:bottom w:w="80" w:type="dxa"/>
              <w:end w:w="120" w:type="dxa"/>
            </w:tcMar>
            <w:vAlign w:val="center"/>
          </w:tcPr>
          <w:p>
            <w:pPr>
              <w:spacing w:after="0"/>
            </w:pPr>
            <w:r>
              <w:rPr>
                <w:rFonts w:ascii="Calibri" w:hAnsi="Calibri"/>
                <w:sz w:val="19"/>
              </w:rPr>
              <w:t>Geração própria, aquisição de energia no mercado livre, compra de energia em bloco, rede de parceiros e BESS.</w:t>
            </w:r>
          </w:p>
        </w:tc>
      </w:tr>
      <w:tr>
        <w:tc>
          <w:tcPr>
            <w:tcW w:type="dxa" w:w="2304"/>
            <w:tcMar>
              <w:top w:w="80" w:type="dxa"/>
              <w:start w:w="120" w:type="dxa"/>
              <w:bottom w:w="80" w:type="dxa"/>
              <w:end w:w="120" w:type="dxa"/>
            </w:tcMar>
            <w:vAlign w:val="center"/>
          </w:tcPr>
          <w:p>
            <w:pPr>
              <w:spacing w:after="0"/>
            </w:pPr>
            <w:r>
              <w:rPr>
                <w:rFonts w:ascii="Calibri" w:hAnsi="Calibri"/>
                <w:sz w:val="19"/>
              </w:rPr>
              <w:t>Reduzir riscos</w:t>
            </w:r>
          </w:p>
        </w:tc>
        <w:tc>
          <w:tcPr>
            <w:tcW w:type="dxa" w:w="7056"/>
            <w:tcMar>
              <w:top w:w="80" w:type="dxa"/>
              <w:start w:w="120" w:type="dxa"/>
              <w:bottom w:w="80" w:type="dxa"/>
              <w:end w:w="120" w:type="dxa"/>
            </w:tcMar>
            <w:vAlign w:val="center"/>
          </w:tcPr>
          <w:p>
            <w:pPr>
              <w:spacing w:after="0"/>
            </w:pPr>
            <w:r>
              <w:rPr>
                <w:rFonts w:ascii="Calibri" w:hAnsi="Calibri"/>
                <w:sz w:val="19"/>
              </w:rPr>
              <w:t>Processos padronizados, equipamentos homologados, assessoria especializada, garantia de fábrica, assistência técnica, treinamento e marketing coletivo.</w:t>
            </w:r>
          </w:p>
        </w:tc>
      </w:tr>
    </w:tbl>
    <w:p>
      <w:pPr>
        <w:spacing w:after="40"/>
      </w:pPr>
    </w:p>
    <w:p>
      <w:pPr>
        <w:pStyle w:val="Heading1"/>
      </w:pPr>
      <w:r>
        <w:t>5. Portfólio modular da franquia</w:t>
      </w:r>
    </w:p>
    <w:p>
      <w:pPr>
        <w:spacing w:after="120" w:line="264" w:lineRule="auto"/>
      </w:pPr>
      <w:r>
        <w:rPr>
          <w:rFonts w:ascii="Calibri" w:hAnsi="Calibri"/>
        </w:rPr>
        <w:t>O modelo foi estruturado em módulos, separando entrada obrigatória de expansão opcional.</w:t>
      </w:r>
    </w:p>
    <w:p>
      <w:pPr>
        <w:pStyle w:val="Heading2"/>
      </w:pPr>
      <w:r>
        <w:t>Módulos obrigatórios de entrada</w:t>
      </w:r>
    </w:p>
    <w:tbl>
      <w:tblPr>
        <w:tblW w:type="dxa" w:w="9360"/>
        <w:jc w:val="center"/>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736"/>
            <w:shd w:fill="F2F4F7"/>
            <w:tcMar>
              <w:top w:w="80" w:type="dxa"/>
              <w:start w:w="120" w:type="dxa"/>
              <w:bottom w:w="80" w:type="dxa"/>
              <w:end w:w="120" w:type="dxa"/>
            </w:tcMar>
            <w:vAlign w:val="center"/>
          </w:tcPr>
          <w:p>
            <w:pPr>
              <w:spacing w:after="0"/>
            </w:pPr>
            <w:r>
              <w:rPr>
                <w:rFonts w:ascii="Calibri" w:hAnsi="Calibri"/>
                <w:b/>
                <w:color w:val="0B2545"/>
                <w:sz w:val="20"/>
              </w:rPr>
              <w:t>Módulo</w:t>
            </w:r>
          </w:p>
        </w:tc>
        <w:tc>
          <w:tcPr>
            <w:tcW w:type="dxa" w:w="6624"/>
            <w:shd w:fill="F2F4F7"/>
            <w:tcMar>
              <w:top w:w="80" w:type="dxa"/>
              <w:start w:w="120" w:type="dxa"/>
              <w:bottom w:w="80" w:type="dxa"/>
              <w:end w:w="120" w:type="dxa"/>
            </w:tcMar>
            <w:vAlign w:val="center"/>
          </w:tcPr>
          <w:p>
            <w:pPr>
              <w:spacing w:after="0"/>
            </w:pPr>
            <w:r>
              <w:rPr>
                <w:rFonts w:ascii="Calibri" w:hAnsi="Calibri"/>
                <w:b/>
                <w:color w:val="0B2545"/>
                <w:sz w:val="20"/>
              </w:rPr>
              <w:t>Inclui</w:t>
            </w:r>
          </w:p>
        </w:tc>
      </w:tr>
      <w:tr>
        <w:tc>
          <w:tcPr>
            <w:tcW w:type="dxa" w:w="2736"/>
            <w:tcMar>
              <w:top w:w="80" w:type="dxa"/>
              <w:start w:w="120" w:type="dxa"/>
              <w:bottom w:w="80" w:type="dxa"/>
              <w:end w:w="120" w:type="dxa"/>
            </w:tcMar>
            <w:vAlign w:val="center"/>
          </w:tcPr>
          <w:p>
            <w:pPr>
              <w:spacing w:after="0"/>
            </w:pPr>
            <w:r>
              <w:rPr>
                <w:rFonts w:ascii="Calibri" w:hAnsi="Calibri"/>
                <w:sz w:val="19"/>
              </w:rPr>
              <w:t>Franquia Base</w:t>
            </w:r>
          </w:p>
        </w:tc>
        <w:tc>
          <w:tcPr>
            <w:tcW w:type="dxa" w:w="6624"/>
            <w:tcMar>
              <w:top w:w="80" w:type="dxa"/>
              <w:start w:w="120" w:type="dxa"/>
              <w:bottom w:w="80" w:type="dxa"/>
              <w:end w:w="120" w:type="dxa"/>
            </w:tcMar>
            <w:vAlign w:val="center"/>
          </w:tcPr>
          <w:p>
            <w:pPr>
              <w:spacing w:after="0"/>
            </w:pPr>
            <w:r>
              <w:rPr>
                <w:rFonts w:ascii="Calibri" w:hAnsi="Calibri"/>
                <w:sz w:val="19"/>
              </w:rPr>
              <w:t>Marca, processos, assessorias, financiamento próprio, royalties, verba de marketing e padrão operacional.</w:t>
            </w:r>
          </w:p>
        </w:tc>
      </w:tr>
      <w:tr>
        <w:tc>
          <w:tcPr>
            <w:tcW w:type="dxa" w:w="2736"/>
            <w:tcMar>
              <w:top w:w="80" w:type="dxa"/>
              <w:start w:w="120" w:type="dxa"/>
              <w:bottom w:w="80" w:type="dxa"/>
              <w:end w:w="120" w:type="dxa"/>
            </w:tcMar>
            <w:vAlign w:val="center"/>
          </w:tcPr>
          <w:p>
            <w:pPr>
              <w:spacing w:after="0"/>
            </w:pPr>
            <w:r>
              <w:rPr>
                <w:rFonts w:ascii="Calibri" w:hAnsi="Calibri"/>
                <w:sz w:val="19"/>
              </w:rPr>
              <w:t>Equipamentos de Recarga</w:t>
            </w:r>
          </w:p>
        </w:tc>
        <w:tc>
          <w:tcPr>
            <w:tcW w:type="dxa" w:w="6624"/>
            <w:tcMar>
              <w:top w:w="80" w:type="dxa"/>
              <w:start w:w="120" w:type="dxa"/>
              <w:bottom w:w="80" w:type="dxa"/>
              <w:end w:w="120" w:type="dxa"/>
            </w:tcMar>
            <w:vAlign w:val="center"/>
          </w:tcPr>
          <w:p>
            <w:pPr>
              <w:spacing w:after="0"/>
            </w:pPr>
            <w:r>
              <w:rPr>
                <w:rFonts w:ascii="Calibri" w:hAnsi="Calibri"/>
                <w:sz w:val="19"/>
              </w:rPr>
              <w:t>Carregadores homologados, acessórios, assistência técnica, garantia de fábrica, software de gestão e atualizações tecnológicas.</w:t>
            </w:r>
          </w:p>
        </w:tc>
      </w:tr>
    </w:tbl>
    <w:p>
      <w:pPr>
        <w:spacing w:after="40"/>
      </w:pPr>
    </w:p>
    <w:p>
      <w:pPr>
        <w:pStyle w:val="Heading2"/>
      </w:pPr>
      <w:r>
        <w:t>Módulos opcionais/evolutivos</w:t>
      </w:r>
    </w:p>
    <w:tbl>
      <w:tblPr>
        <w:tblW w:type="dxa" w:w="9360"/>
        <w:jc w:val="center"/>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736"/>
            <w:shd w:fill="F2F4F7"/>
            <w:tcMar>
              <w:top w:w="80" w:type="dxa"/>
              <w:start w:w="120" w:type="dxa"/>
              <w:bottom w:w="80" w:type="dxa"/>
              <w:end w:w="120" w:type="dxa"/>
            </w:tcMar>
            <w:vAlign w:val="center"/>
          </w:tcPr>
          <w:p>
            <w:pPr>
              <w:spacing w:after="0"/>
            </w:pPr>
            <w:r>
              <w:rPr>
                <w:rFonts w:ascii="Calibri" w:hAnsi="Calibri"/>
                <w:b/>
                <w:color w:val="0B2545"/>
                <w:sz w:val="20"/>
              </w:rPr>
              <w:t>Módulo</w:t>
            </w:r>
          </w:p>
        </w:tc>
        <w:tc>
          <w:tcPr>
            <w:tcW w:type="dxa" w:w="6624"/>
            <w:shd w:fill="F2F4F7"/>
            <w:tcMar>
              <w:top w:w="80" w:type="dxa"/>
              <w:start w:w="120" w:type="dxa"/>
              <w:bottom w:w="80" w:type="dxa"/>
              <w:end w:w="120" w:type="dxa"/>
            </w:tcMar>
            <w:vAlign w:val="center"/>
          </w:tcPr>
          <w:p>
            <w:pPr>
              <w:spacing w:after="0"/>
            </w:pPr>
            <w:r>
              <w:rPr>
                <w:rFonts w:ascii="Calibri" w:hAnsi="Calibri"/>
                <w:b/>
                <w:color w:val="0B2545"/>
                <w:sz w:val="20"/>
              </w:rPr>
              <w:t>Possibilidades</w:t>
            </w:r>
          </w:p>
        </w:tc>
      </w:tr>
      <w:tr>
        <w:tc>
          <w:tcPr>
            <w:tcW w:type="dxa" w:w="2736"/>
            <w:tcMar>
              <w:top w:w="80" w:type="dxa"/>
              <w:start w:w="120" w:type="dxa"/>
              <w:bottom w:w="80" w:type="dxa"/>
              <w:end w:w="120" w:type="dxa"/>
            </w:tcMar>
            <w:vAlign w:val="center"/>
          </w:tcPr>
          <w:p>
            <w:pPr>
              <w:spacing w:after="0"/>
            </w:pPr>
            <w:r>
              <w:rPr>
                <w:rFonts w:ascii="Calibri" w:hAnsi="Calibri"/>
                <w:sz w:val="19"/>
              </w:rPr>
              <w:t>Energia</w:t>
            </w:r>
          </w:p>
        </w:tc>
        <w:tc>
          <w:tcPr>
            <w:tcW w:type="dxa" w:w="6624"/>
            <w:tcMar>
              <w:top w:w="80" w:type="dxa"/>
              <w:start w:w="120" w:type="dxa"/>
              <w:bottom w:w="80" w:type="dxa"/>
              <w:end w:w="120" w:type="dxa"/>
            </w:tcMar>
            <w:vAlign w:val="center"/>
          </w:tcPr>
          <w:p>
            <w:pPr>
              <w:spacing w:after="0"/>
            </w:pPr>
            <w:r>
              <w:rPr>
                <w:rFonts w:ascii="Calibri" w:hAnsi="Calibri"/>
                <w:sz w:val="19"/>
              </w:rPr>
              <w:t>Geração própria, mercado livre, aquisição em bloco e rede de parceiros.</w:t>
            </w:r>
          </w:p>
        </w:tc>
      </w:tr>
      <w:tr>
        <w:tc>
          <w:tcPr>
            <w:tcW w:type="dxa" w:w="2736"/>
            <w:tcMar>
              <w:top w:w="80" w:type="dxa"/>
              <w:start w:w="120" w:type="dxa"/>
              <w:bottom w:w="80" w:type="dxa"/>
              <w:end w:w="120" w:type="dxa"/>
            </w:tcMar>
            <w:vAlign w:val="center"/>
          </w:tcPr>
          <w:p>
            <w:pPr>
              <w:spacing w:after="0"/>
            </w:pPr>
            <w:r>
              <w:rPr>
                <w:rFonts w:ascii="Calibri" w:hAnsi="Calibri"/>
                <w:sz w:val="19"/>
              </w:rPr>
              <w:t>Armazenamento BESS</w:t>
            </w:r>
          </w:p>
        </w:tc>
        <w:tc>
          <w:tcPr>
            <w:tcW w:type="dxa" w:w="6624"/>
            <w:tcMar>
              <w:top w:w="80" w:type="dxa"/>
              <w:start w:w="120" w:type="dxa"/>
              <w:bottom w:w="80" w:type="dxa"/>
              <w:end w:w="120" w:type="dxa"/>
            </w:tcMar>
            <w:vAlign w:val="center"/>
          </w:tcPr>
          <w:p>
            <w:pPr>
              <w:spacing w:after="0"/>
            </w:pPr>
            <w:r>
              <w:rPr>
                <w:rFonts w:ascii="Calibri" w:hAnsi="Calibri"/>
                <w:sz w:val="19"/>
              </w:rPr>
              <w:t>Baterias, gestão de demanda, estabilidade energética e integração com geração própria.</w:t>
            </w:r>
          </w:p>
        </w:tc>
      </w:tr>
      <w:tr>
        <w:tc>
          <w:tcPr>
            <w:tcW w:type="dxa" w:w="2736"/>
            <w:tcMar>
              <w:top w:w="80" w:type="dxa"/>
              <w:start w:w="120" w:type="dxa"/>
              <w:bottom w:w="80" w:type="dxa"/>
              <w:end w:w="120" w:type="dxa"/>
            </w:tcMar>
            <w:vAlign w:val="center"/>
          </w:tcPr>
          <w:p>
            <w:pPr>
              <w:spacing w:after="0"/>
            </w:pPr>
            <w:r>
              <w:rPr>
                <w:rFonts w:ascii="Calibri" w:hAnsi="Calibri"/>
                <w:sz w:val="19"/>
              </w:rPr>
              <w:t>Negócios adjacentes</w:t>
            </w:r>
          </w:p>
        </w:tc>
        <w:tc>
          <w:tcPr>
            <w:tcW w:type="dxa" w:w="6624"/>
            <w:tcMar>
              <w:top w:w="80" w:type="dxa"/>
              <w:start w:w="120" w:type="dxa"/>
              <w:bottom w:w="80" w:type="dxa"/>
              <w:end w:w="120" w:type="dxa"/>
            </w:tcMar>
            <w:vAlign w:val="center"/>
          </w:tcPr>
          <w:p>
            <w:pPr>
              <w:spacing w:after="0"/>
            </w:pPr>
            <w:r>
              <w:rPr>
                <w:rFonts w:ascii="Calibri" w:hAnsi="Calibri"/>
                <w:sz w:val="19"/>
              </w:rPr>
              <w:t>Café, lava-jato, conveniência e serviços rápidos em containers.</w:t>
            </w:r>
          </w:p>
        </w:tc>
      </w:tr>
      <w:tr>
        <w:tc>
          <w:tcPr>
            <w:tcW w:type="dxa" w:w="2736"/>
            <w:tcMar>
              <w:top w:w="80" w:type="dxa"/>
              <w:start w:w="120" w:type="dxa"/>
              <w:bottom w:w="80" w:type="dxa"/>
              <w:end w:w="120" w:type="dxa"/>
            </w:tcMar>
            <w:vAlign w:val="center"/>
          </w:tcPr>
          <w:p>
            <w:pPr>
              <w:spacing w:after="0"/>
            </w:pPr>
            <w:r>
              <w:rPr>
                <w:rFonts w:ascii="Calibri" w:hAnsi="Calibri"/>
                <w:sz w:val="19"/>
              </w:rPr>
              <w:t>Expansão e upgrades</w:t>
            </w:r>
          </w:p>
        </w:tc>
        <w:tc>
          <w:tcPr>
            <w:tcW w:type="dxa" w:w="6624"/>
            <w:tcMar>
              <w:top w:w="80" w:type="dxa"/>
              <w:start w:w="120" w:type="dxa"/>
              <w:bottom w:w="80" w:type="dxa"/>
              <w:end w:w="120" w:type="dxa"/>
            </w:tcMar>
            <w:vAlign w:val="center"/>
          </w:tcPr>
          <w:p>
            <w:pPr>
              <w:spacing w:after="0"/>
            </w:pPr>
            <w:r>
              <w:rPr>
                <w:rFonts w:ascii="Calibri" w:hAnsi="Calibri"/>
                <w:sz w:val="19"/>
              </w:rPr>
              <w:t>Novos carregadores, upgrades tecnológicos, novos containers e novas soluções da rede.</w:t>
            </w:r>
          </w:p>
        </w:tc>
      </w:tr>
    </w:tbl>
    <w:p>
      <w:pPr>
        <w:spacing w:after="40"/>
      </w:pPr>
    </w:p>
    <w:p>
      <w:pPr>
        <w:pStyle w:val="Heading1"/>
      </w:pPr>
      <w:r>
        <w:t>6. Fontes de receita e estrutura econômica</w:t>
      </w:r>
    </w:p>
    <w:p>
      <w:pPr>
        <w:pStyle w:val="Heading2"/>
      </w:pPr>
      <w:r>
        <w:t>Fontes de receita do franqueado</w:t>
      </w:r>
    </w:p>
    <w:p>
      <w:pPr>
        <w:pStyle w:val="ListBullet"/>
        <w:spacing w:after="80" w:line="280" w:lineRule="auto"/>
        <w:ind w:left="720" w:hanging="360"/>
      </w:pPr>
      <w:r>
        <w:rPr>
          <w:rFonts w:ascii="Calibri" w:hAnsi="Calibri"/>
        </w:rPr>
        <w:t>Receita de recarga elétrica.</w:t>
      </w:r>
    </w:p>
    <w:p>
      <w:pPr>
        <w:pStyle w:val="ListBullet"/>
        <w:spacing w:after="80" w:line="280" w:lineRule="auto"/>
        <w:ind w:left="720" w:hanging="360"/>
      </w:pPr>
      <w:r>
        <w:rPr>
          <w:rFonts w:ascii="Calibri" w:hAnsi="Calibri"/>
        </w:rPr>
        <w:t>Contratos corporativos locais.</w:t>
      </w:r>
    </w:p>
    <w:p>
      <w:pPr>
        <w:pStyle w:val="ListBullet"/>
        <w:spacing w:after="80" w:line="280" w:lineRule="auto"/>
        <w:ind w:left="720" w:hanging="360"/>
      </w:pPr>
      <w:r>
        <w:rPr>
          <w:rFonts w:ascii="Calibri" w:hAnsi="Calibri"/>
        </w:rPr>
        <w:t>Contratos corporativos eventualmente negociados em bloco pela franqueadora.</w:t>
      </w:r>
    </w:p>
    <w:p>
      <w:pPr>
        <w:pStyle w:val="ListBullet"/>
        <w:spacing w:after="80" w:line="280" w:lineRule="auto"/>
        <w:ind w:left="720" w:hanging="360"/>
      </w:pPr>
      <w:r>
        <w:rPr>
          <w:rFonts w:ascii="Calibri" w:hAnsi="Calibri"/>
        </w:rPr>
        <w:t>Receitas futuras de módulos adicionais.</w:t>
      </w:r>
    </w:p>
    <w:p>
      <w:pPr>
        <w:pStyle w:val="ListBullet"/>
        <w:spacing w:after="80" w:line="280" w:lineRule="auto"/>
        <w:ind w:left="720" w:hanging="360"/>
      </w:pPr>
      <w:r>
        <w:rPr>
          <w:rFonts w:ascii="Calibri" w:hAnsi="Calibri"/>
        </w:rPr>
        <w:t>Receitas de negócios adjacentes, quando implantados.</w:t>
      </w:r>
    </w:p>
    <w:p>
      <w:pPr>
        <w:pStyle w:val="ListBullet"/>
        <w:spacing w:after="80" w:line="280" w:lineRule="auto"/>
        <w:ind w:left="720" w:hanging="360"/>
      </w:pPr>
      <w:r>
        <w:rPr>
          <w:rFonts w:ascii="Calibri" w:hAnsi="Calibri"/>
        </w:rPr>
        <w:t>Serviços complementares.</w:t>
      </w:r>
    </w:p>
    <w:tbl>
      <w:tblPr>
        <w:tblW w:type="dxa" w:w="9360"/>
        <w:jc w:val="center"/>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F4F6F9"/>
            <w:tcMar>
              <w:top w:w="140" w:type="dxa"/>
              <w:start w:w="180" w:type="dxa"/>
              <w:bottom w:w="140" w:type="dxa"/>
              <w:end w:w="180" w:type="dxa"/>
            </w:tcMar>
          </w:tcPr>
          <w:p>
            <w:pPr>
              <w:spacing w:after="80"/>
            </w:pPr>
            <w:r>
              <w:rPr>
                <w:rFonts w:ascii="Calibri" w:hAnsi="Calibri"/>
                <w:b/>
                <w:color w:val="0B2545"/>
              </w:rPr>
              <w:t>Observação relevante</w:t>
            </w:r>
          </w:p>
          <w:p>
            <w:pPr>
              <w:spacing w:after="0"/>
            </w:pPr>
            <w:r>
              <w:rPr>
                <w:rFonts w:ascii="Calibri" w:hAnsi="Calibri"/>
                <w:sz w:val="21"/>
              </w:rPr>
              <w:t>A franqueadora poderá negociar contratos corporativos em bloco, especialmente em grandes contas, redes nacionais ou contratos multiunidades. Isso não substitui a prospecção local do franqueado, mas pode gerar demanda qualificada para a rede.</w:t>
            </w:r>
          </w:p>
        </w:tc>
      </w:tr>
    </w:tbl>
    <w:p>
      <w:pPr>
        <w:spacing w:after="40"/>
      </w:pPr>
    </w:p>
    <w:p>
      <w:pPr>
        <w:pStyle w:val="Heading2"/>
      </w:pPr>
      <w:r>
        <w:t>Estrutura econômica do franqueado</w:t>
      </w:r>
    </w:p>
    <w:p>
      <w:pPr>
        <w:spacing w:after="120" w:line="264" w:lineRule="auto"/>
      </w:pPr>
      <w:r>
        <w:rPr>
          <w:rFonts w:ascii="Calibri" w:hAnsi="Calibri"/>
        </w:rPr>
        <w:t>Foi definida uma estrutura gerencial para organizar o resultado do franqueado:</w:t>
      </w:r>
    </w:p>
    <w:tbl>
      <w:tblPr>
        <w:tblW w:type="dxa" w:w="9360"/>
        <w:jc w:val="center"/>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592"/>
            <w:shd w:fill="F2F4F7"/>
            <w:tcMar>
              <w:top w:w="80" w:type="dxa"/>
              <w:start w:w="120" w:type="dxa"/>
              <w:bottom w:w="80" w:type="dxa"/>
              <w:end w:w="120" w:type="dxa"/>
            </w:tcMar>
            <w:vAlign w:val="center"/>
          </w:tcPr>
          <w:p>
            <w:pPr>
              <w:spacing w:after="0"/>
            </w:pPr>
            <w:r>
              <w:rPr>
                <w:rFonts w:ascii="Calibri" w:hAnsi="Calibri"/>
                <w:b/>
                <w:color w:val="0B2545"/>
                <w:sz w:val="20"/>
              </w:rPr>
              <w:t>Bloco</w:t>
            </w:r>
          </w:p>
        </w:tc>
        <w:tc>
          <w:tcPr>
            <w:tcW w:type="dxa" w:w="6768"/>
            <w:shd w:fill="F2F4F7"/>
            <w:tcMar>
              <w:top w:w="80" w:type="dxa"/>
              <w:start w:w="120" w:type="dxa"/>
              <w:bottom w:w="80" w:type="dxa"/>
              <w:end w:w="120" w:type="dxa"/>
            </w:tcMar>
            <w:vAlign w:val="center"/>
          </w:tcPr>
          <w:p>
            <w:pPr>
              <w:spacing w:after="0"/>
            </w:pPr>
            <w:r>
              <w:rPr>
                <w:rFonts w:ascii="Calibri" w:hAnsi="Calibri"/>
                <w:b/>
                <w:color w:val="0B2545"/>
                <w:sz w:val="20"/>
              </w:rPr>
              <w:t>Componentes</w:t>
            </w:r>
          </w:p>
        </w:tc>
      </w:tr>
      <w:tr>
        <w:tc>
          <w:tcPr>
            <w:tcW w:type="dxa" w:w="2592"/>
            <w:tcMar>
              <w:top w:w="80" w:type="dxa"/>
              <w:start w:w="120" w:type="dxa"/>
              <w:bottom w:w="80" w:type="dxa"/>
              <w:end w:w="120" w:type="dxa"/>
            </w:tcMar>
            <w:vAlign w:val="center"/>
          </w:tcPr>
          <w:p>
            <w:pPr>
              <w:spacing w:after="0"/>
            </w:pPr>
            <w:r>
              <w:rPr>
                <w:rFonts w:ascii="Calibri" w:hAnsi="Calibri"/>
                <w:sz w:val="19"/>
              </w:rPr>
              <w:t>Receitas</w:t>
            </w:r>
          </w:p>
        </w:tc>
        <w:tc>
          <w:tcPr>
            <w:tcW w:type="dxa" w:w="6768"/>
            <w:tcMar>
              <w:top w:w="80" w:type="dxa"/>
              <w:start w:w="120" w:type="dxa"/>
              <w:bottom w:w="80" w:type="dxa"/>
              <w:end w:w="120" w:type="dxa"/>
            </w:tcMar>
            <w:vAlign w:val="center"/>
          </w:tcPr>
          <w:p>
            <w:pPr>
              <w:spacing w:after="0"/>
            </w:pPr>
            <w:r>
              <w:rPr>
                <w:rFonts w:ascii="Calibri" w:hAnsi="Calibri"/>
                <w:sz w:val="19"/>
              </w:rPr>
              <w:t>Recarga elétrica, contratos corporativos e receitas futuras de módulos adicionais.</w:t>
            </w:r>
          </w:p>
        </w:tc>
      </w:tr>
      <w:tr>
        <w:tc>
          <w:tcPr>
            <w:tcW w:type="dxa" w:w="2592"/>
            <w:tcMar>
              <w:top w:w="80" w:type="dxa"/>
              <w:start w:w="120" w:type="dxa"/>
              <w:bottom w:w="80" w:type="dxa"/>
              <w:end w:w="120" w:type="dxa"/>
            </w:tcMar>
            <w:vAlign w:val="center"/>
          </w:tcPr>
          <w:p>
            <w:pPr>
              <w:spacing w:after="0"/>
            </w:pPr>
            <w:r>
              <w:rPr>
                <w:rFonts w:ascii="Calibri" w:hAnsi="Calibri"/>
                <w:sz w:val="19"/>
              </w:rPr>
              <w:t>Custos variáveis</w:t>
            </w:r>
          </w:p>
        </w:tc>
        <w:tc>
          <w:tcPr>
            <w:tcW w:type="dxa" w:w="6768"/>
            <w:tcMar>
              <w:top w:w="80" w:type="dxa"/>
              <w:start w:w="120" w:type="dxa"/>
              <w:bottom w:w="80" w:type="dxa"/>
              <w:end w:w="120" w:type="dxa"/>
            </w:tcMar>
            <w:vAlign w:val="center"/>
          </w:tcPr>
          <w:p>
            <w:pPr>
              <w:spacing w:after="0"/>
            </w:pPr>
            <w:r>
              <w:rPr>
                <w:rFonts w:ascii="Calibri" w:hAnsi="Calibri"/>
                <w:sz w:val="19"/>
              </w:rPr>
              <w:t>Custo de energia, custos de insumos e custos de mercadorias.</w:t>
            </w:r>
          </w:p>
        </w:tc>
      </w:tr>
      <w:tr>
        <w:tc>
          <w:tcPr>
            <w:tcW w:type="dxa" w:w="2592"/>
            <w:tcMar>
              <w:top w:w="80" w:type="dxa"/>
              <w:start w:w="120" w:type="dxa"/>
              <w:bottom w:w="80" w:type="dxa"/>
              <w:end w:w="120" w:type="dxa"/>
            </w:tcMar>
            <w:vAlign w:val="center"/>
          </w:tcPr>
          <w:p>
            <w:pPr>
              <w:spacing w:after="0"/>
            </w:pPr>
            <w:r>
              <w:rPr>
                <w:rFonts w:ascii="Calibri" w:hAnsi="Calibri"/>
                <w:sz w:val="19"/>
              </w:rPr>
              <w:t>Despesas variáveis</w:t>
            </w:r>
          </w:p>
        </w:tc>
        <w:tc>
          <w:tcPr>
            <w:tcW w:type="dxa" w:w="6768"/>
            <w:tcMar>
              <w:top w:w="80" w:type="dxa"/>
              <w:start w:w="120" w:type="dxa"/>
              <w:bottom w:w="80" w:type="dxa"/>
              <w:end w:w="120" w:type="dxa"/>
            </w:tcMar>
            <w:vAlign w:val="center"/>
          </w:tcPr>
          <w:p>
            <w:pPr>
              <w:spacing w:after="0"/>
            </w:pPr>
            <w:r>
              <w:rPr>
                <w:rFonts w:ascii="Calibri" w:hAnsi="Calibri"/>
                <w:sz w:val="19"/>
              </w:rPr>
              <w:t>Impostos, royalties, verba de marketing, comissões, taxas de meios de pagamento e eventuais taxas comerciais sobre contratos.</w:t>
            </w:r>
          </w:p>
        </w:tc>
      </w:tr>
      <w:tr>
        <w:tc>
          <w:tcPr>
            <w:tcW w:type="dxa" w:w="2592"/>
            <w:tcMar>
              <w:top w:w="80" w:type="dxa"/>
              <w:start w:w="120" w:type="dxa"/>
              <w:bottom w:w="80" w:type="dxa"/>
              <w:end w:w="120" w:type="dxa"/>
            </w:tcMar>
            <w:vAlign w:val="center"/>
          </w:tcPr>
          <w:p>
            <w:pPr>
              <w:spacing w:after="0"/>
            </w:pPr>
            <w:r>
              <w:rPr>
                <w:rFonts w:ascii="Calibri" w:hAnsi="Calibri"/>
                <w:sz w:val="19"/>
              </w:rPr>
              <w:t>Margem de contribuição</w:t>
            </w:r>
          </w:p>
        </w:tc>
        <w:tc>
          <w:tcPr>
            <w:tcW w:type="dxa" w:w="6768"/>
            <w:tcMar>
              <w:top w:w="80" w:type="dxa"/>
              <w:start w:w="120" w:type="dxa"/>
              <w:bottom w:w="80" w:type="dxa"/>
              <w:end w:w="120" w:type="dxa"/>
            </w:tcMar>
            <w:vAlign w:val="center"/>
          </w:tcPr>
          <w:p>
            <w:pPr>
              <w:spacing w:after="0"/>
            </w:pPr>
            <w:r>
              <w:rPr>
                <w:rFonts w:ascii="Calibri" w:hAnsi="Calibri"/>
                <w:sz w:val="19"/>
              </w:rPr>
              <w:t>Receitas – Custos Variáveis – Despesas Variáveis.</w:t>
            </w:r>
          </w:p>
        </w:tc>
      </w:tr>
      <w:tr>
        <w:tc>
          <w:tcPr>
            <w:tcW w:type="dxa" w:w="2592"/>
            <w:tcMar>
              <w:top w:w="80" w:type="dxa"/>
              <w:start w:w="120" w:type="dxa"/>
              <w:bottom w:w="80" w:type="dxa"/>
              <w:end w:w="120" w:type="dxa"/>
            </w:tcMar>
            <w:vAlign w:val="center"/>
          </w:tcPr>
          <w:p>
            <w:pPr>
              <w:spacing w:after="0"/>
            </w:pPr>
            <w:r>
              <w:rPr>
                <w:rFonts w:ascii="Calibri" w:hAnsi="Calibri"/>
                <w:sz w:val="19"/>
              </w:rPr>
              <w:t>Custos fixos</w:t>
            </w:r>
          </w:p>
        </w:tc>
        <w:tc>
          <w:tcPr>
            <w:tcW w:type="dxa" w:w="6768"/>
            <w:tcMar>
              <w:top w:w="80" w:type="dxa"/>
              <w:start w:w="120" w:type="dxa"/>
              <w:bottom w:w="80" w:type="dxa"/>
              <w:end w:w="120" w:type="dxa"/>
            </w:tcMar>
            <w:vAlign w:val="center"/>
          </w:tcPr>
          <w:p>
            <w:pPr>
              <w:spacing w:after="0"/>
            </w:pPr>
            <w:r>
              <w:rPr>
                <w:rFonts w:ascii="Calibri" w:hAnsi="Calibri"/>
                <w:sz w:val="19"/>
              </w:rPr>
              <w:t>Custo do ponto, aluguel ou ocupação da área, funcionários operacionais, manutenção preventiva, segurança, limpeza, conservação, conectividade operacional e seguros operacionais.</w:t>
            </w:r>
          </w:p>
        </w:tc>
      </w:tr>
      <w:tr>
        <w:tc>
          <w:tcPr>
            <w:tcW w:type="dxa" w:w="2592"/>
            <w:tcMar>
              <w:top w:w="80" w:type="dxa"/>
              <w:start w:w="120" w:type="dxa"/>
              <w:bottom w:w="80" w:type="dxa"/>
              <w:end w:w="120" w:type="dxa"/>
            </w:tcMar>
            <w:vAlign w:val="center"/>
          </w:tcPr>
          <w:p>
            <w:pPr>
              <w:spacing w:after="0"/>
            </w:pPr>
            <w:r>
              <w:rPr>
                <w:rFonts w:ascii="Calibri" w:hAnsi="Calibri"/>
                <w:sz w:val="19"/>
              </w:rPr>
              <w:t>Despesas fixas</w:t>
            </w:r>
          </w:p>
        </w:tc>
        <w:tc>
          <w:tcPr>
            <w:tcW w:type="dxa" w:w="6768"/>
            <w:tcMar>
              <w:top w:w="80" w:type="dxa"/>
              <w:start w:w="120" w:type="dxa"/>
              <w:bottom w:w="80" w:type="dxa"/>
              <w:end w:w="120" w:type="dxa"/>
            </w:tcMar>
            <w:vAlign w:val="center"/>
          </w:tcPr>
          <w:p>
            <w:pPr>
              <w:spacing w:after="0"/>
            </w:pPr>
            <w:r>
              <w:rPr>
                <w:rFonts w:ascii="Calibri" w:hAnsi="Calibri"/>
                <w:sz w:val="19"/>
              </w:rPr>
              <w:t>Contabilidade, sistemas de informação, administração, jurídico, gestão financeira, despesas bancárias fixas e assessorias contratadas fora do pacote da franquia.</w:t>
            </w:r>
          </w:p>
        </w:tc>
      </w:tr>
      <w:tr>
        <w:tc>
          <w:tcPr>
            <w:tcW w:type="dxa" w:w="2592"/>
            <w:tcMar>
              <w:top w:w="80" w:type="dxa"/>
              <w:start w:w="120" w:type="dxa"/>
              <w:bottom w:w="80" w:type="dxa"/>
              <w:end w:w="120" w:type="dxa"/>
            </w:tcMar>
            <w:vAlign w:val="center"/>
          </w:tcPr>
          <w:p>
            <w:pPr>
              <w:spacing w:after="0"/>
            </w:pPr>
            <w:r>
              <w:rPr>
                <w:rFonts w:ascii="Calibri" w:hAnsi="Calibri"/>
                <w:sz w:val="19"/>
              </w:rPr>
              <w:t>Resultado líquido</w:t>
            </w:r>
          </w:p>
        </w:tc>
        <w:tc>
          <w:tcPr>
            <w:tcW w:type="dxa" w:w="6768"/>
            <w:tcMar>
              <w:top w:w="80" w:type="dxa"/>
              <w:start w:w="120" w:type="dxa"/>
              <w:bottom w:w="80" w:type="dxa"/>
              <w:end w:w="120" w:type="dxa"/>
            </w:tcMar>
            <w:vAlign w:val="center"/>
          </w:tcPr>
          <w:p>
            <w:pPr>
              <w:spacing w:after="0"/>
            </w:pPr>
            <w:r>
              <w:rPr>
                <w:rFonts w:ascii="Calibri" w:hAnsi="Calibri"/>
                <w:sz w:val="19"/>
              </w:rPr>
              <w:t>Margem de Contribuição – Custos Fixos – Despesas Fixas.</w:t>
            </w:r>
          </w:p>
        </w:tc>
      </w:tr>
    </w:tbl>
    <w:p>
      <w:pPr>
        <w:spacing w:after="40"/>
      </w:pPr>
    </w:p>
    <w:p>
      <w:pPr>
        <w:pStyle w:val="Heading1"/>
      </w:pPr>
      <w:r>
        <w:t>7. Investimentos</w:t>
      </w:r>
    </w:p>
    <w:tbl>
      <w:tblPr>
        <w:tblW w:type="dxa" w:w="9360"/>
        <w:jc w:val="center"/>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880"/>
            <w:shd w:fill="F2F4F7"/>
            <w:tcMar>
              <w:top w:w="80" w:type="dxa"/>
              <w:start w:w="120" w:type="dxa"/>
              <w:bottom w:w="80" w:type="dxa"/>
              <w:end w:w="120" w:type="dxa"/>
            </w:tcMar>
            <w:vAlign w:val="center"/>
          </w:tcPr>
          <w:p>
            <w:pPr>
              <w:spacing w:after="0"/>
            </w:pPr>
            <w:r>
              <w:rPr>
                <w:rFonts w:ascii="Calibri" w:hAnsi="Calibri"/>
                <w:b/>
                <w:color w:val="0B2545"/>
                <w:sz w:val="20"/>
              </w:rPr>
              <w:t>Grupo</w:t>
            </w:r>
          </w:p>
        </w:tc>
        <w:tc>
          <w:tcPr>
            <w:tcW w:type="dxa" w:w="6480"/>
            <w:shd w:fill="F2F4F7"/>
            <w:tcMar>
              <w:top w:w="80" w:type="dxa"/>
              <w:start w:w="120" w:type="dxa"/>
              <w:bottom w:w="80" w:type="dxa"/>
              <w:end w:w="120" w:type="dxa"/>
            </w:tcMar>
            <w:vAlign w:val="center"/>
          </w:tcPr>
          <w:p>
            <w:pPr>
              <w:spacing w:after="0"/>
            </w:pPr>
            <w:r>
              <w:rPr>
                <w:rFonts w:ascii="Calibri" w:hAnsi="Calibri"/>
                <w:b/>
                <w:color w:val="0B2545"/>
                <w:sz w:val="20"/>
              </w:rPr>
              <w:t>Itens</w:t>
            </w:r>
          </w:p>
        </w:tc>
      </w:tr>
      <w:tr>
        <w:tc>
          <w:tcPr>
            <w:tcW w:type="dxa" w:w="2880"/>
            <w:tcMar>
              <w:top w:w="80" w:type="dxa"/>
              <w:start w:w="120" w:type="dxa"/>
              <w:bottom w:w="80" w:type="dxa"/>
              <w:end w:w="120" w:type="dxa"/>
            </w:tcMar>
            <w:vAlign w:val="center"/>
          </w:tcPr>
          <w:p>
            <w:pPr>
              <w:spacing w:after="0"/>
            </w:pPr>
            <w:r>
              <w:rPr>
                <w:rFonts w:ascii="Calibri" w:hAnsi="Calibri"/>
                <w:sz w:val="19"/>
              </w:rPr>
              <w:t>Investimento inicial</w:t>
            </w:r>
          </w:p>
        </w:tc>
        <w:tc>
          <w:tcPr>
            <w:tcW w:type="dxa" w:w="6480"/>
            <w:tcMar>
              <w:top w:w="80" w:type="dxa"/>
              <w:start w:w="120" w:type="dxa"/>
              <w:bottom w:w="80" w:type="dxa"/>
              <w:end w:w="120" w:type="dxa"/>
            </w:tcMar>
            <w:vAlign w:val="center"/>
          </w:tcPr>
          <w:p>
            <w:pPr>
              <w:spacing w:after="0"/>
            </w:pPr>
            <w:r>
              <w:rPr>
                <w:rFonts w:ascii="Calibri" w:hAnsi="Calibri"/>
                <w:sz w:val="19"/>
              </w:rPr>
              <w:t>Taxa de franquia, equipamentos de recarga, instalação, infraestrutura elétrica, adequação do ponto, comunicação visual, software obrigatório, treinamento inicial, capital de giro, licenças, seguros e autorizações iniciais.</w:t>
            </w:r>
          </w:p>
        </w:tc>
      </w:tr>
      <w:tr>
        <w:tc>
          <w:tcPr>
            <w:tcW w:type="dxa" w:w="2880"/>
            <w:tcMar>
              <w:top w:w="80" w:type="dxa"/>
              <w:start w:w="120" w:type="dxa"/>
              <w:bottom w:w="80" w:type="dxa"/>
              <w:end w:w="120" w:type="dxa"/>
            </w:tcMar>
            <w:vAlign w:val="center"/>
          </w:tcPr>
          <w:p>
            <w:pPr>
              <w:spacing w:after="0"/>
            </w:pPr>
            <w:r>
              <w:rPr>
                <w:rFonts w:ascii="Calibri" w:hAnsi="Calibri"/>
                <w:sz w:val="19"/>
              </w:rPr>
              <w:t>Investimentos evolutivos opcionais</w:t>
            </w:r>
          </w:p>
        </w:tc>
        <w:tc>
          <w:tcPr>
            <w:tcW w:type="dxa" w:w="6480"/>
            <w:tcMar>
              <w:top w:w="80" w:type="dxa"/>
              <w:start w:w="120" w:type="dxa"/>
              <w:bottom w:w="80" w:type="dxa"/>
              <w:end w:w="120" w:type="dxa"/>
            </w:tcMar>
            <w:vAlign w:val="center"/>
          </w:tcPr>
          <w:p>
            <w:pPr>
              <w:spacing w:after="0"/>
            </w:pPr>
            <w:r>
              <w:rPr>
                <w:rFonts w:ascii="Calibri" w:hAnsi="Calibri"/>
                <w:sz w:val="19"/>
              </w:rPr>
              <w:t>Geração própria, BESS, containers de café, lava-jato ou conveniência, expansão de carregadores, upgrades tecnológicos, ampliação de capacidade elétrica e novos módulos operacionais ou comerciais.</w:t>
            </w:r>
          </w:p>
        </w:tc>
      </w:tr>
    </w:tbl>
    <w:p>
      <w:pPr>
        <w:spacing w:after="40"/>
      </w:pPr>
    </w:p>
    <w:p>
      <w:pPr>
        <w:pStyle w:val="Heading1"/>
      </w:pPr>
      <w:r>
        <w:t>8. Análise de viabilidade e execução</w:t>
      </w:r>
    </w:p>
    <w:p>
      <w:pPr>
        <w:pStyle w:val="Heading2"/>
      </w:pPr>
      <w:r>
        <w:t>Análise de viabilidade</w:t>
      </w:r>
    </w:p>
    <w:tbl>
      <w:tblPr>
        <w:tblW w:type="dxa" w:w="9360"/>
        <w:jc w:val="center"/>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F4F6F9"/>
            <w:tcMar>
              <w:top w:w="140" w:type="dxa"/>
              <w:start w:w="180" w:type="dxa"/>
              <w:bottom w:w="140" w:type="dxa"/>
              <w:end w:w="180" w:type="dxa"/>
            </w:tcMar>
          </w:tcPr>
          <w:p>
            <w:pPr>
              <w:spacing w:after="80"/>
            </w:pPr>
            <w:r>
              <w:rPr>
                <w:rFonts w:ascii="Calibri" w:hAnsi="Calibri"/>
                <w:b/>
                <w:color w:val="0B2545"/>
              </w:rPr>
              <w:t>Premissa de responsabilidade</w:t>
            </w:r>
          </w:p>
          <w:p>
            <w:pPr>
              <w:spacing w:after="0"/>
            </w:pPr>
            <w:r>
              <w:rPr>
                <w:rFonts w:ascii="Calibri" w:hAnsi="Calibri"/>
                <w:sz w:val="21"/>
              </w:rPr>
              <w:t>A franqueadora não emitirá parecer, aprovação, reprovação, recomendação final ou garantia de resultado sobre a viabilidade do negócio. A decisão será exclusivamente do franqueado.</w:t>
            </w:r>
          </w:p>
        </w:tc>
      </w:tr>
    </w:tbl>
    <w:p>
      <w:pPr>
        <w:spacing w:after="40"/>
      </w:pPr>
    </w:p>
    <w:p>
      <w:pPr>
        <w:spacing w:after="120" w:line="264" w:lineRule="auto"/>
      </w:pPr>
      <w:r>
        <w:rPr>
          <w:rFonts w:ascii="Calibri" w:hAnsi="Calibri"/>
        </w:rPr>
        <w:t>A franqueadora poderá indicar pontos que devem ser observados, oferecer metodologia, fornecer parâmetros de referência, apoiar com assessoria, apresentar informações técnicas e comerciais e orientar a organização da análise.</w:t>
      </w:r>
    </w:p>
    <w:p>
      <w:pPr>
        <w:spacing w:after="120" w:line="264" w:lineRule="auto"/>
      </w:pPr>
      <w:r>
        <w:rPr>
          <w:rFonts w:ascii="Calibri" w:hAnsi="Calibri"/>
        </w:rPr>
        <w:t>Pontos a observar na análise: aspectos comerciais, técnicos, energéticos, financeiros e operacionais.</w:t>
      </w:r>
    </w:p>
    <w:p>
      <w:pPr>
        <w:pStyle w:val="Heading2"/>
      </w:pPr>
      <w:r>
        <w:t>Jornada de implantação</w:t>
      </w:r>
    </w:p>
    <w:p>
      <w:pPr>
        <w:spacing w:after="120" w:line="264" w:lineRule="auto"/>
      </w:pPr>
      <w:r>
        <w:rPr>
          <w:rFonts w:ascii="Calibri" w:hAnsi="Calibri"/>
        </w:rPr>
        <w:t>Após realizar sua própria análise de viabilidade e decidir seguir com o investimento, o franqueado inicia a jornada de implantação. A jornada contempla formalização da adesão à franquia, definição do escopo inicial, estruturação financeira do projeto, aquisição dos equipamentos e módulos contratados, preparação do ponto, instalação e configuração dos carregadores, treinamento do franqueado e da equipe, e início da operação assistida.</w:t>
      </w:r>
    </w:p>
    <w:p>
      <w:pPr>
        <w:pStyle w:val="Heading2"/>
      </w:pPr>
      <w:r>
        <w:t>Papéis e responsabilidades</w:t>
      </w:r>
    </w:p>
    <w:tbl>
      <w:tblPr>
        <w:tblW w:type="dxa" w:w="9360"/>
        <w:jc w:val="center"/>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448"/>
            <w:shd w:fill="F2F4F7"/>
            <w:tcMar>
              <w:top w:w="80" w:type="dxa"/>
              <w:start w:w="120" w:type="dxa"/>
              <w:bottom w:w="80" w:type="dxa"/>
              <w:end w:w="120" w:type="dxa"/>
            </w:tcMar>
            <w:vAlign w:val="center"/>
          </w:tcPr>
          <w:p>
            <w:pPr>
              <w:spacing w:after="0"/>
            </w:pPr>
            <w:r>
              <w:rPr>
                <w:rFonts w:ascii="Calibri" w:hAnsi="Calibri"/>
                <w:b/>
                <w:color w:val="0B2545"/>
                <w:sz w:val="20"/>
              </w:rPr>
              <w:t>Ator</w:t>
            </w:r>
          </w:p>
        </w:tc>
        <w:tc>
          <w:tcPr>
            <w:tcW w:type="dxa" w:w="6912"/>
            <w:shd w:fill="F2F4F7"/>
            <w:tcMar>
              <w:top w:w="80" w:type="dxa"/>
              <w:start w:w="120" w:type="dxa"/>
              <w:bottom w:w="80" w:type="dxa"/>
              <w:end w:w="120" w:type="dxa"/>
            </w:tcMar>
            <w:vAlign w:val="center"/>
          </w:tcPr>
          <w:p>
            <w:pPr>
              <w:spacing w:after="0"/>
            </w:pPr>
            <w:r>
              <w:rPr>
                <w:rFonts w:ascii="Calibri" w:hAnsi="Calibri"/>
                <w:b/>
                <w:color w:val="0B2545"/>
                <w:sz w:val="20"/>
              </w:rPr>
              <w:t>Responsabilidades</w:t>
            </w:r>
          </w:p>
        </w:tc>
      </w:tr>
      <w:tr>
        <w:tc>
          <w:tcPr>
            <w:tcW w:type="dxa" w:w="2448"/>
            <w:tcMar>
              <w:top w:w="80" w:type="dxa"/>
              <w:start w:w="120" w:type="dxa"/>
              <w:bottom w:w="80" w:type="dxa"/>
              <w:end w:w="120" w:type="dxa"/>
            </w:tcMar>
            <w:vAlign w:val="center"/>
          </w:tcPr>
          <w:p>
            <w:pPr>
              <w:spacing w:after="0"/>
            </w:pPr>
            <w:r>
              <w:rPr>
                <w:rFonts w:ascii="Calibri" w:hAnsi="Calibri"/>
                <w:sz w:val="19"/>
              </w:rPr>
              <w:t>Franqueado</w:t>
            </w:r>
          </w:p>
        </w:tc>
        <w:tc>
          <w:tcPr>
            <w:tcW w:type="dxa" w:w="6912"/>
            <w:tcMar>
              <w:top w:w="80" w:type="dxa"/>
              <w:start w:w="120" w:type="dxa"/>
              <w:bottom w:w="80" w:type="dxa"/>
              <w:end w:w="120" w:type="dxa"/>
            </w:tcMar>
            <w:vAlign w:val="center"/>
          </w:tcPr>
          <w:p>
            <w:pPr>
              <w:spacing w:after="0"/>
            </w:pPr>
            <w:r>
              <w:rPr>
                <w:rFonts w:ascii="Calibri" w:hAnsi="Calibri"/>
                <w:sz w:val="19"/>
              </w:rPr>
              <w:t>Decisão de investimento, implantação, gestão local, operação diária, equipe, controle financeiro, atendimento ao cliente, execução dos processos e cumprimento dos padrões da rede.</w:t>
            </w:r>
          </w:p>
        </w:tc>
      </w:tr>
      <w:tr>
        <w:tc>
          <w:tcPr>
            <w:tcW w:type="dxa" w:w="2448"/>
            <w:tcMar>
              <w:top w:w="80" w:type="dxa"/>
              <w:start w:w="120" w:type="dxa"/>
              <w:bottom w:w="80" w:type="dxa"/>
              <w:end w:w="120" w:type="dxa"/>
            </w:tcMar>
            <w:vAlign w:val="center"/>
          </w:tcPr>
          <w:p>
            <w:pPr>
              <w:spacing w:after="0"/>
            </w:pPr>
            <w:r>
              <w:rPr>
                <w:rFonts w:ascii="Calibri" w:hAnsi="Calibri"/>
                <w:sz w:val="19"/>
              </w:rPr>
              <w:t>Franqueadora</w:t>
            </w:r>
          </w:p>
        </w:tc>
        <w:tc>
          <w:tcPr>
            <w:tcW w:type="dxa" w:w="6912"/>
            <w:tcMar>
              <w:top w:w="80" w:type="dxa"/>
              <w:start w:w="120" w:type="dxa"/>
              <w:bottom w:w="80" w:type="dxa"/>
              <w:end w:w="120" w:type="dxa"/>
            </w:tcMar>
            <w:vAlign w:val="center"/>
          </w:tcPr>
          <w:p>
            <w:pPr>
              <w:spacing w:after="0"/>
            </w:pPr>
            <w:r>
              <w:rPr>
                <w:rFonts w:ascii="Calibri" w:hAnsi="Calibri"/>
                <w:sz w:val="19"/>
              </w:rPr>
              <w:t>Marca, metodologia, processos, padrões operacionais, assessorias, equipamentos homologados, rede de parceiros, soluções modulares, financiamento próprio e interface estratégica com fornecedores/fabricante.</w:t>
            </w:r>
          </w:p>
        </w:tc>
      </w:tr>
      <w:tr>
        <w:tc>
          <w:tcPr>
            <w:tcW w:type="dxa" w:w="2448"/>
            <w:tcMar>
              <w:top w:w="80" w:type="dxa"/>
              <w:start w:w="120" w:type="dxa"/>
              <w:bottom w:w="80" w:type="dxa"/>
              <w:end w:w="120" w:type="dxa"/>
            </w:tcMar>
            <w:vAlign w:val="center"/>
          </w:tcPr>
          <w:p>
            <w:pPr>
              <w:spacing w:after="0"/>
            </w:pPr>
            <w:r>
              <w:rPr>
                <w:rFonts w:ascii="Calibri" w:hAnsi="Calibri"/>
                <w:sz w:val="19"/>
              </w:rPr>
              <w:t>Fornecedores, parceiros e fabricante</w:t>
            </w:r>
          </w:p>
        </w:tc>
        <w:tc>
          <w:tcPr>
            <w:tcW w:type="dxa" w:w="6912"/>
            <w:tcMar>
              <w:top w:w="80" w:type="dxa"/>
              <w:start w:w="120" w:type="dxa"/>
              <w:bottom w:w="80" w:type="dxa"/>
              <w:end w:w="120" w:type="dxa"/>
            </w:tcMar>
            <w:vAlign w:val="center"/>
          </w:tcPr>
          <w:p>
            <w:pPr>
              <w:spacing w:after="0"/>
            </w:pPr>
            <w:r>
              <w:rPr>
                <w:rFonts w:ascii="Calibri" w:hAnsi="Calibri"/>
                <w:sz w:val="19"/>
              </w:rPr>
              <w:t>Entregas específicas como equipamentos, assistência técnica, garantia, instalação, soluções energéticas, BESS, sistemas e módulos complementares.</w:t>
            </w:r>
          </w:p>
        </w:tc>
      </w:tr>
    </w:tbl>
    <w:p>
      <w:pPr>
        <w:spacing w:after="40"/>
      </w:pPr>
    </w:p>
    <w:p>
      <w:pPr>
        <w:pStyle w:val="Heading2"/>
      </w:pPr>
      <w:r>
        <w:t>Processos obrigatórios e assessoria</w:t>
      </w:r>
    </w:p>
    <w:p>
      <w:pPr>
        <w:spacing w:after="120" w:line="264" w:lineRule="auto"/>
      </w:pPr>
      <w:r>
        <w:rPr>
          <w:rFonts w:ascii="Calibri" w:hAnsi="Calibri"/>
        </w:rPr>
        <w:t>O franqueado deverá operar sua unidade seguindo processos definidos pela franqueadora, buscando padronização, qualidade operacional, controle financeiro, atendimento adequado, preservação da marca, uso correto dos sistemas, manutenção preventiva, acionamento da assistência técnica, prestação de informações, segurança e conformidade operacional.</w:t>
      </w:r>
    </w:p>
    <w:p>
      <w:pPr>
        <w:spacing w:after="120" w:line="264" w:lineRule="auto"/>
      </w:pPr>
      <w:r>
        <w:rPr>
          <w:rFonts w:ascii="Calibri" w:hAnsi="Calibri"/>
        </w:rPr>
        <w:t>A franqueadora atuará como plataforma de apoio, padronização e inteligência para os franqueados. Essa atuação terá caráter orientativo e metodológico, sem substituir a responsabilidade empresarial do franqueado pela tomada de decisão, gestão local, contratação de equipe, investimentos e resultados da operação.</w:t>
      </w:r>
    </w:p>
    <w:p>
      <w:pPr>
        <w:pStyle w:val="Heading1"/>
      </w:pPr>
      <w:r>
        <w:t>9. Pontos pendentes e questões para os pares</w:t>
      </w:r>
    </w:p>
    <w:p>
      <w:pPr>
        <w:pStyle w:val="Heading2"/>
      </w:pPr>
      <w:r>
        <w:t>Pontos pendentes para refinamento</w:t>
      </w:r>
    </w:p>
    <w:p>
      <w:pPr>
        <w:pStyle w:val="ListBullet"/>
        <w:spacing w:after="80" w:line="280" w:lineRule="auto"/>
        <w:ind w:left="720" w:hanging="360"/>
      </w:pPr>
      <w:r>
        <w:rPr>
          <w:rFonts w:ascii="Calibri" w:hAnsi="Calibri"/>
        </w:rPr>
        <w:t>indicadores econômicos e operacionais;</w:t>
      </w:r>
    </w:p>
    <w:p>
      <w:pPr>
        <w:pStyle w:val="ListBullet"/>
        <w:spacing w:after="80" w:line="280" w:lineRule="auto"/>
        <w:ind w:left="720" w:hanging="360"/>
      </w:pPr>
      <w:r>
        <w:rPr>
          <w:rFonts w:ascii="Calibri" w:hAnsi="Calibri"/>
        </w:rPr>
        <w:t>valores de taxa de franquia;</w:t>
      </w:r>
    </w:p>
    <w:p>
      <w:pPr>
        <w:pStyle w:val="ListBullet"/>
        <w:spacing w:after="80" w:line="280" w:lineRule="auto"/>
        <w:ind w:left="720" w:hanging="360"/>
      </w:pPr>
      <w:r>
        <w:rPr>
          <w:rFonts w:ascii="Calibri" w:hAnsi="Calibri"/>
        </w:rPr>
        <w:t>percentuais de royalties;</w:t>
      </w:r>
    </w:p>
    <w:p>
      <w:pPr>
        <w:pStyle w:val="ListBullet"/>
        <w:spacing w:after="80" w:line="280" w:lineRule="auto"/>
        <w:ind w:left="720" w:hanging="360"/>
      </w:pPr>
      <w:r>
        <w:rPr>
          <w:rFonts w:ascii="Calibri" w:hAnsi="Calibri"/>
        </w:rPr>
        <w:t>percentuais de verba de marketing;</w:t>
      </w:r>
    </w:p>
    <w:p>
      <w:pPr>
        <w:pStyle w:val="ListBullet"/>
        <w:spacing w:after="80" w:line="280" w:lineRule="auto"/>
        <w:ind w:left="720" w:hanging="360"/>
      </w:pPr>
      <w:r>
        <w:rPr>
          <w:rFonts w:ascii="Calibri" w:hAnsi="Calibri"/>
        </w:rPr>
        <w:t>estrutura detalhada do financiamento próprio;</w:t>
      </w:r>
    </w:p>
    <w:p>
      <w:pPr>
        <w:pStyle w:val="ListBullet"/>
        <w:spacing w:after="80" w:line="280" w:lineRule="auto"/>
        <w:ind w:left="720" w:hanging="360"/>
      </w:pPr>
      <w:r>
        <w:rPr>
          <w:rFonts w:ascii="Calibri" w:hAnsi="Calibri"/>
        </w:rPr>
        <w:t>valores dos equipamentos;</w:t>
      </w:r>
    </w:p>
    <w:p>
      <w:pPr>
        <w:pStyle w:val="ListBullet"/>
        <w:spacing w:after="80" w:line="280" w:lineRule="auto"/>
        <w:ind w:left="720" w:hanging="360"/>
      </w:pPr>
      <w:r>
        <w:rPr>
          <w:rFonts w:ascii="Calibri" w:hAnsi="Calibri"/>
        </w:rPr>
        <w:t>premissas de demanda;</w:t>
      </w:r>
    </w:p>
    <w:p>
      <w:pPr>
        <w:pStyle w:val="ListBullet"/>
        <w:spacing w:after="80" w:line="280" w:lineRule="auto"/>
        <w:ind w:left="720" w:hanging="360"/>
      </w:pPr>
      <w:r>
        <w:rPr>
          <w:rFonts w:ascii="Calibri" w:hAnsi="Calibri"/>
        </w:rPr>
        <w:t>cenários financeiros;</w:t>
      </w:r>
    </w:p>
    <w:p>
      <w:pPr>
        <w:pStyle w:val="ListBullet"/>
        <w:spacing w:after="80" w:line="280" w:lineRule="auto"/>
        <w:ind w:left="720" w:hanging="360"/>
      </w:pPr>
      <w:r>
        <w:rPr>
          <w:rFonts w:ascii="Calibri" w:hAnsi="Calibri"/>
        </w:rPr>
        <w:t>modelagem do payback;</w:t>
      </w:r>
    </w:p>
    <w:p>
      <w:pPr>
        <w:pStyle w:val="ListBullet"/>
        <w:spacing w:after="80" w:line="280" w:lineRule="auto"/>
        <w:ind w:left="720" w:hanging="360"/>
      </w:pPr>
      <w:r>
        <w:rPr>
          <w:rFonts w:ascii="Calibri" w:hAnsi="Calibri"/>
        </w:rPr>
        <w:t>detalhamento dos módulos adicionais;</w:t>
      </w:r>
    </w:p>
    <w:p>
      <w:pPr>
        <w:pStyle w:val="ListBullet"/>
        <w:spacing w:after="80" w:line="280" w:lineRule="auto"/>
        <w:ind w:left="720" w:hanging="360"/>
      </w:pPr>
      <w:r>
        <w:rPr>
          <w:rFonts w:ascii="Calibri" w:hAnsi="Calibri"/>
        </w:rPr>
        <w:t>regras para contratos corporativos negociados em bloco;</w:t>
      </w:r>
    </w:p>
    <w:p>
      <w:pPr>
        <w:pStyle w:val="ListBullet"/>
        <w:spacing w:after="80" w:line="280" w:lineRule="auto"/>
        <w:ind w:left="720" w:hanging="360"/>
      </w:pPr>
      <w:r>
        <w:rPr>
          <w:rFonts w:ascii="Calibri" w:hAnsi="Calibri"/>
        </w:rPr>
        <w:t>regras de governança entre franqueadora e franqueados.</w:t>
      </w:r>
    </w:p>
    <w:p>
      <w:pPr>
        <w:pStyle w:val="Heading2"/>
      </w:pPr>
      <w:r>
        <w:t>Perguntas sugeridas para análise dos pares</w:t>
      </w:r>
    </w:p>
    <w:p>
      <w:pPr>
        <w:pStyle w:val="ListNumber"/>
        <w:spacing w:after="80"/>
        <w:ind w:left="720" w:hanging="360"/>
      </w:pPr>
      <w:r>
        <w:rPr>
          <w:rFonts w:ascii="Calibri" w:hAnsi="Calibri"/>
        </w:rPr>
        <w:t>A definição do franqueado como empreendedor/investidor de eletroposto está correta?</w:t>
      </w:r>
    </w:p>
    <w:p>
      <w:pPr>
        <w:pStyle w:val="ListNumber"/>
        <w:spacing w:after="80"/>
        <w:ind w:left="720" w:hanging="360"/>
      </w:pPr>
      <w:r>
        <w:rPr>
          <w:rFonts w:ascii="Calibri" w:hAnsi="Calibri"/>
        </w:rPr>
        <w:t>A proposta modular está clara e atrativa?</w:t>
      </w:r>
    </w:p>
    <w:p>
      <w:pPr>
        <w:pStyle w:val="ListNumber"/>
        <w:spacing w:after="80"/>
        <w:ind w:left="720" w:hanging="360"/>
      </w:pPr>
      <w:r>
        <w:rPr>
          <w:rFonts w:ascii="Calibri" w:hAnsi="Calibri"/>
        </w:rPr>
        <w:t>Os módulos opcionais fazem sentido para ampliar receita e margem?</w:t>
      </w:r>
    </w:p>
    <w:p>
      <w:pPr>
        <w:pStyle w:val="ListNumber"/>
        <w:spacing w:after="80"/>
        <w:ind w:left="720" w:hanging="360"/>
      </w:pPr>
      <w:r>
        <w:rPr>
          <w:rFonts w:ascii="Calibri" w:hAnsi="Calibri"/>
        </w:rPr>
        <w:t>A franqueadora deve negociar energia e contratos corporativos em bloco?</w:t>
      </w:r>
    </w:p>
    <w:p>
      <w:pPr>
        <w:pStyle w:val="ListNumber"/>
        <w:spacing w:after="80"/>
        <w:ind w:left="720" w:hanging="360"/>
      </w:pPr>
      <w:r>
        <w:rPr>
          <w:rFonts w:ascii="Calibri" w:hAnsi="Calibri"/>
        </w:rPr>
        <w:t>O conceito de financiamento próprio é viável e desejável?</w:t>
      </w:r>
    </w:p>
    <w:p>
      <w:pPr>
        <w:pStyle w:val="ListNumber"/>
        <w:spacing w:after="80"/>
        <w:ind w:left="720" w:hanging="360"/>
      </w:pPr>
      <w:r>
        <w:rPr>
          <w:rFonts w:ascii="Calibri" w:hAnsi="Calibri"/>
        </w:rPr>
        <w:t>Há riscos jurídicos na forma como as assessorias estão descritas?</w:t>
      </w:r>
    </w:p>
    <w:p>
      <w:pPr>
        <w:pStyle w:val="ListNumber"/>
        <w:spacing w:after="80"/>
        <w:ind w:left="720" w:hanging="360"/>
      </w:pPr>
      <w:r>
        <w:rPr>
          <w:rFonts w:ascii="Calibri" w:hAnsi="Calibri"/>
        </w:rPr>
        <w:t>A separação entre responsabilidade do franqueado e apoio da franqueadora está clara?</w:t>
      </w:r>
    </w:p>
    <w:p>
      <w:pPr>
        <w:pStyle w:val="ListNumber"/>
        <w:spacing w:after="80"/>
        <w:ind w:left="720" w:hanging="360"/>
      </w:pPr>
      <w:r>
        <w:rPr>
          <w:rFonts w:ascii="Calibri" w:hAnsi="Calibri"/>
        </w:rPr>
        <w:t>A estrutura econômica está adequada para futura modelagem financeira?</w:t>
      </w:r>
    </w:p>
    <w:p>
      <w:pPr>
        <w:pStyle w:val="ListNumber"/>
        <w:spacing w:after="80"/>
        <w:ind w:left="720" w:hanging="360"/>
      </w:pPr>
      <w:r>
        <w:rPr>
          <w:rFonts w:ascii="Calibri" w:hAnsi="Calibri"/>
        </w:rPr>
        <w:t>Quais módulos adicionais deveriam entrar no roadmap?</w:t>
      </w:r>
    </w:p>
    <w:p>
      <w:pPr>
        <w:pStyle w:val="ListNumber"/>
        <w:spacing w:after="80"/>
        <w:ind w:left="720" w:hanging="360"/>
      </w:pPr>
      <w:r>
        <w:rPr>
          <w:rFonts w:ascii="Calibri" w:hAnsi="Calibri"/>
        </w:rPr>
        <w:t>O que precisa estar no plano antes da imputação definitiva no APP32?</w:t>
      </w:r>
    </w:p>
    <w:p>
      <w:pPr>
        <w:pStyle w:val="Heading1"/>
      </w:pPr>
      <w:r>
        <w:t>10. Próximo passo recomendado</w:t>
      </w:r>
    </w:p>
    <w:p>
      <w:pPr>
        <w:pStyle w:val="ListNumber"/>
        <w:spacing w:after="80"/>
        <w:ind w:left="720" w:hanging="360"/>
      </w:pPr>
      <w:r>
        <w:rPr>
          <w:rFonts w:ascii="Calibri" w:hAnsi="Calibri"/>
        </w:rPr>
        <w:t>Consolidar contribuições dos pares.</w:t>
      </w:r>
    </w:p>
    <w:p>
      <w:pPr>
        <w:pStyle w:val="ListNumber"/>
        <w:spacing w:after="80"/>
        <w:ind w:left="720" w:hanging="360"/>
      </w:pPr>
      <w:r>
        <w:rPr>
          <w:rFonts w:ascii="Calibri" w:hAnsi="Calibri"/>
        </w:rPr>
        <w:t>Ajustar os pontos conceituais.</w:t>
      </w:r>
    </w:p>
    <w:p>
      <w:pPr>
        <w:pStyle w:val="ListNumber"/>
        <w:spacing w:after="80"/>
        <w:ind w:left="720" w:hanging="360"/>
      </w:pPr>
      <w:r>
        <w:rPr>
          <w:rFonts w:ascii="Calibri" w:hAnsi="Calibri"/>
        </w:rPr>
        <w:t>Definir premissas financeiras mínimas.</w:t>
      </w:r>
    </w:p>
    <w:p>
      <w:pPr>
        <w:pStyle w:val="ListNumber"/>
        <w:spacing w:after="80"/>
        <w:ind w:left="720" w:hanging="360"/>
      </w:pPr>
      <w:r>
        <w:rPr>
          <w:rFonts w:ascii="Calibri" w:hAnsi="Calibri"/>
        </w:rPr>
        <w:t>Imputar os dados no APP32.</w:t>
      </w:r>
    </w:p>
    <w:p>
      <w:pPr>
        <w:pStyle w:val="ListNumber"/>
        <w:spacing w:after="80"/>
        <w:ind w:left="720" w:hanging="360"/>
      </w:pPr>
      <w:r>
        <w:rPr>
          <w:rFonts w:ascii="Calibri" w:hAnsi="Calibri"/>
        </w:rPr>
        <w:t>Evoluir o plano financeiro com cenários.</w:t>
      </w:r>
    </w:p>
    <w:p>
      <w:pPr>
        <w:pStyle w:val="ListNumber"/>
        <w:spacing w:after="80"/>
        <w:ind w:left="720" w:hanging="360"/>
      </w:pPr>
      <w:r>
        <w:rPr>
          <w:rFonts w:ascii="Calibri" w:hAnsi="Calibri"/>
        </w:rPr>
        <w:t>Depois avançar para o plano da franquia/franqueadora.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95959"/>
        <w:sz w:val="16"/>
      </w:rPr>
      <w:t>Poly Chargers | Plano de Negócios do Franqueado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Calibri" w:hAnsi="Calibri"/>
        <w:color w:val="595959"/>
        <w:sz w:val="17"/>
      </w:rPr>
      <w:t>Relatório executivo para análise dos pares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Executivo — Plano de Negócios do Franqueado Poly Chargers</dc:title>
  <dc:subject>Relatório para análise dos pares</dc:subject>
  <dc:creator>Gestão Versus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