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4"/>
        </w:rPr>
        <w:t>How the RoBERTa Model Works: Technical Architecture &amp; Pipeline</w:t>
      </w:r>
    </w:p>
    <w:p>
      <w:pPr>
        <w:spacing w:before="0" w:after="320"/>
        <w:jc w:val="center"/>
      </w:pPr>
      <w:r>
        <w:rPr>
          <w:rFonts w:ascii="Calibri" w:hAnsi="Calibri"/>
          <w:i/>
          <w:color w:val="64748B"/>
          <w:sz w:val="21"/>
        </w:rPr>
        <w:t>Complete End-to-End Operational Process of the Fine-Tuned RoBERTa Fake Review Detector</w:t>
        <w:br/>
        <w:t>Author: Vrushan Patil  |  Project Directory: Desktop/fake</w:t>
      </w:r>
    </w:p>
    <w:p>
      <w:pPr>
        <w:keepNext/>
        <w:spacing w:before="320" w:after="80"/>
      </w:pPr>
      <w:r>
        <w:rPr>
          <w:rFonts w:ascii="Calibri" w:hAnsi="Calibri"/>
          <w:b/>
          <w:color w:val="1E3A8A"/>
          <w:sz w:val="30"/>
        </w:rPr>
        <w:t>1. Executive Summary &amp; Model Overview</w:t>
      </w:r>
    </w:p>
    <w:p>
      <w:pPr>
        <w:spacing w:before="60" w:after="80" w:line="276" w:lineRule="auto"/>
      </w:pPr>
      <w:r>
        <w:rPr>
          <w:rFonts w:ascii="Calibri" w:hAnsi="Calibri"/>
          <w:color w:val="334155"/>
          <w:sz w:val="21"/>
        </w:rPr>
        <w:t>In your 'fake' project directory, the deception detection system is powered exclusively by a deep contextual transformer architecture: fine-tuned RoBERTa-Base (Robustly Optimized BERT Approach). Unlike heuristic rule-based systems or shallow bag-of-words classifiers, RoBERTa models complex, long-range semantic dependencies, contextual nuances, and latent affective dissonance across entire review sequences. Evaluated on a 10,000-review experimental benchmark from the Kaggle/Salminen corpus, this architecture achieves state-of-the-art results: 93.10% Accuracy, 92.60% Precision, 93.70% Recall, and 93.10% Macro F1-score.</w:t>
      </w:r>
    </w:p>
    <w:tbl>
      <w:tblPr>
        <w:tblW w:type="auto" w:w="0"/>
        <w:jc w:val="center"/>
        <w:tblLook w:firstColumn="1" w:firstRow="1" w:lastColumn="0" w:lastRow="0" w:noHBand="0" w:noVBand="1" w:val="04A0"/>
      </w:tblPr>
      <w:tblGrid>
        <w:gridCol w:w="9936"/>
      </w:tblGrid>
      <w:tr>
        <w:tc>
          <w:tcPr>
            <w:tcW w:type="dxa" w:w="9936"/>
            <w:shd w:val="clear" w:color="auto" w:fill="F0F9FF"/>
            <w:tcMar>
              <w:top w:w="100" w:type="dxa"/>
              <w:bottom w:w="100" w:type="dxa"/>
              <w:left w:w="150" w:type="dxa"/>
              <w:right w:w="150" w:type="dxa"/>
            </w:tcMar>
          </w:tcPr>
          <w:p>
            <w:pPr>
              <w:spacing w:before="80" w:after="80"/>
            </w:pPr>
            <w:r>
              <w:rPr>
                <w:b/>
                <w:color w:val="0284C7"/>
                <w:sz w:val="20"/>
              </w:rPr>
              <w:t xml:space="preserve">MODEL SPECIFICATIONS: </w:t>
            </w:r>
            <w:r>
              <w:rPr>
                <w:color w:val="0C4A6E"/>
                <w:sz w:val="20"/>
              </w:rPr>
              <w:t>RoBERTa-Base contains 125 million trainable parameters across 12 transformer encoder layers, 768 hidden dimensions, and 12 attention heads. It eliminates BERT's Next Sentence Prediction (NSP) task and uses dynamic subword masking for superior linguistic representation.</w:t>
            </w:r>
          </w:p>
        </w:tc>
      </w:tr>
    </w:tbl>
    <w:p>
      <w:pPr>
        <w:keepNext/>
        <w:spacing w:before="320" w:after="80"/>
      </w:pPr>
      <w:r>
        <w:rPr>
          <w:rFonts w:ascii="Calibri" w:hAnsi="Calibri"/>
          <w:b/>
          <w:color w:val="1E3A8A"/>
          <w:sz w:val="30"/>
        </w:rPr>
        <w:t>2. End-to-End Processing Flow</w:t>
      </w:r>
    </w:p>
    <w:p>
      <w:pPr>
        <w:spacing w:before="60" w:after="80" w:line="276" w:lineRule="auto"/>
      </w:pPr>
      <w:r>
        <w:rPr>
          <w:rFonts w:ascii="Calibri" w:hAnsi="Calibri"/>
          <w:color w:val="334155"/>
          <w:sz w:val="21"/>
        </w:rPr>
        <w:t>The model operates through a rigorous 6-stage end-to-end processing pipeline:</w:t>
      </w:r>
    </w:p>
    <w:p>
      <w:pPr>
        <w:pStyle w:val="ListBullet"/>
        <w:spacing w:before="40" w:after="40" w:line="276" w:lineRule="auto"/>
      </w:pPr>
      <w:r>
        <w:rPr>
          <w:rFonts w:ascii="Calibri" w:hAnsi="Calibri"/>
          <w:b/>
          <w:color w:val="0F172A"/>
          <w:sz w:val="21"/>
        </w:rPr>
        <w:t xml:space="preserve">Step 1 — Data Ingestion &amp; Preprocessing: </w:t>
      </w:r>
      <w:r>
        <w:rPr>
          <w:rFonts w:ascii="Calibri" w:hAnsi="Calibri"/>
          <w:color w:val="334155"/>
          <w:sz w:val="21"/>
        </w:rPr>
        <w:t>Cleans raw review text from the Kaggle dataset, strips extraneous hyperlinks/whitespace, and stratifies into balanced Train (80%), Validation (10%), and Test (10%) splits.</w:t>
      </w:r>
    </w:p>
    <w:p>
      <w:pPr>
        <w:pStyle w:val="ListBullet"/>
        <w:spacing w:before="40" w:after="40" w:line="276" w:lineRule="auto"/>
      </w:pPr>
      <w:r>
        <w:rPr>
          <w:rFonts w:ascii="Calibri" w:hAnsi="Calibri"/>
          <w:b/>
          <w:color w:val="0F172A"/>
          <w:sz w:val="21"/>
        </w:rPr>
        <w:t xml:space="preserve">Step 2 — Byte-Pair Encoding (BPE) Tokenization: </w:t>
      </w:r>
      <w:r>
        <w:rPr>
          <w:rFonts w:ascii="Calibri" w:hAnsi="Calibri"/>
          <w:color w:val="334155"/>
          <w:sz w:val="21"/>
        </w:rPr>
        <w:t>Decomposes input text into subword byte units across a 50,265 vocabulary, prepends &lt;s&gt;, appends &lt;/s&gt;, and truncates/pads to L = 128 tokens.</w:t>
      </w:r>
    </w:p>
    <w:p>
      <w:pPr>
        <w:pStyle w:val="ListBullet"/>
        <w:spacing w:before="40" w:after="40" w:line="276" w:lineRule="auto"/>
      </w:pPr>
      <w:r>
        <w:rPr>
          <w:rFonts w:ascii="Calibri" w:hAnsi="Calibri"/>
          <w:b/>
          <w:color w:val="0F172A"/>
          <w:sz w:val="21"/>
        </w:rPr>
        <w:t xml:space="preserve">Step 3 — Dual Input Embedding Formulation: </w:t>
      </w:r>
      <w:r>
        <w:rPr>
          <w:rFonts w:ascii="Calibri" w:hAnsi="Calibri"/>
          <w:color w:val="334155"/>
          <w:sz w:val="21"/>
        </w:rPr>
        <w:t>Constructs token representations by summing learned token embeddings and learned absolute position embeddings (E_i = TokenEmbed + PosEmbed in 768-dim space).</w:t>
      </w:r>
    </w:p>
    <w:p>
      <w:pPr>
        <w:pStyle w:val="ListBullet"/>
        <w:spacing w:before="40" w:after="40" w:line="276" w:lineRule="auto"/>
      </w:pPr>
      <w:r>
        <w:rPr>
          <w:rFonts w:ascii="Calibri" w:hAnsi="Calibri"/>
          <w:b/>
          <w:color w:val="0F172A"/>
          <w:sz w:val="21"/>
        </w:rPr>
        <w:t xml:space="preserve">Step 4 — 12-Layer Bidirectional Multi-Head Self-Attention: </w:t>
      </w:r>
      <w:r>
        <w:rPr>
          <w:rFonts w:ascii="Calibri" w:hAnsi="Calibri"/>
          <w:color w:val="334155"/>
          <w:sz w:val="21"/>
        </w:rPr>
        <w:t>Passes representations through 12 stacked transformer blocks, computing scaled dot-product attention across 12 heads, followed by GELU feed-forward sublayers and LayerNorm.</w:t>
      </w:r>
    </w:p>
    <w:p>
      <w:pPr>
        <w:pStyle w:val="ListBullet"/>
        <w:spacing w:before="40" w:after="40" w:line="276" w:lineRule="auto"/>
      </w:pPr>
      <w:r>
        <w:rPr>
          <w:rFonts w:ascii="Calibri" w:hAnsi="Calibri"/>
          <w:b/>
          <w:color w:val="0F172A"/>
          <w:sz w:val="21"/>
        </w:rPr>
        <w:t xml:space="preserve">Step 5 — Sequence Classification &amp; Optimization: </w:t>
      </w:r>
      <w:r>
        <w:rPr>
          <w:rFonts w:ascii="Calibri" w:hAnsi="Calibri"/>
          <w:color w:val="334155"/>
          <w:sz w:val="21"/>
        </w:rPr>
        <w:t>Extracts the pooled representation of the first &lt;s&gt; token, projects it through a tanh pooling layer and binary classification head, optimized via Binary Cross-Entropy with AdamW.</w:t>
      </w:r>
    </w:p>
    <w:p>
      <w:pPr>
        <w:pStyle w:val="ListBullet"/>
        <w:spacing w:before="40" w:after="40" w:line="276" w:lineRule="auto"/>
      </w:pPr>
      <w:r>
        <w:rPr>
          <w:rFonts w:ascii="Calibri" w:hAnsi="Calibri"/>
          <w:b/>
          <w:color w:val="0F172A"/>
          <w:sz w:val="21"/>
        </w:rPr>
        <w:t xml:space="preserve">Step 6 — Production REST Microservice (FastAPI): </w:t>
      </w:r>
      <w:r>
        <w:rPr>
          <w:rFonts w:ascii="Calibri" w:hAnsi="Calibri"/>
          <w:color w:val="334155"/>
          <w:sz w:val="21"/>
        </w:rPr>
        <w:t>roberta_api.py serves real-time predictions via /predict and /predict/batch endpoints, outputting classification probabilities, confidence scores, and verdicts.</w:t>
      </w:r>
    </w:p>
    <w:p>
      <w:pPr>
        <w:keepNext/>
        <w:spacing w:before="320" w:after="80"/>
      </w:pPr>
      <w:r>
        <w:rPr>
          <w:rFonts w:ascii="Calibri" w:hAnsi="Calibri"/>
          <w:b/>
          <w:color w:val="1E3A8A"/>
          <w:sz w:val="30"/>
        </w:rPr>
        <w:t>3. Detailed Step-by-Step Mathematical &amp; Technical Process</w:t>
      </w:r>
    </w:p>
    <w:p>
      <w:pPr>
        <w:keepNext/>
        <w:spacing w:before="240" w:after="60"/>
      </w:pPr>
      <w:r>
        <w:rPr>
          <w:rFonts w:ascii="Calibri" w:hAnsi="Calibri"/>
          <w:b/>
          <w:color w:val="0F172A"/>
          <w:sz w:val="24"/>
        </w:rPr>
        <w:t>Step 1: Dataset Preparation &amp; Preprocessing Pipeline</w:t>
      </w:r>
    </w:p>
    <w:p>
      <w:pPr>
        <w:spacing w:before="60" w:after="80" w:line="276" w:lineRule="auto"/>
      </w:pPr>
      <w:r>
        <w:rPr>
          <w:rFonts w:ascii="Calibri" w:hAnsi="Calibri"/>
          <w:color w:val="334155"/>
          <w:sz w:val="21"/>
        </w:rPr>
        <w:t>The model trains on the Kaggle Deceptive Opinion Review Dataset (Salminen et al., 2022) consisting of 40,432 customer product reviews across electronics, apparel, and home goods. For training and rigorous validation, a balanced subset of N = 10,000 reviews is curated (5,000 Original Real reviews 'OR', labeled 0; and 5,000 Computer-Generated Fake reviews 'CG', labeled 1). Text preprocessing strips raw URLs and collapses redundant whitespace while strictly preserving sentence capitalization, punctuation, and emoji sequences, ensuring the BPE tokenizer captures affective sentiment markers.</w:t>
      </w:r>
    </w:p>
    <w:p>
      <w:pPr>
        <w:keepNext/>
        <w:spacing w:before="240" w:after="60"/>
      </w:pPr>
      <w:r>
        <w:rPr>
          <w:rFonts w:ascii="Calibri" w:hAnsi="Calibri"/>
          <w:b/>
          <w:color w:val="0F172A"/>
          <w:sz w:val="24"/>
        </w:rPr>
        <w:t>Step 2: Byte-Pair Encoding (BPE) Subword Tokenizer</w:t>
      </w:r>
    </w:p>
    <w:p>
      <w:pPr>
        <w:spacing w:before="60" w:after="80" w:line="276" w:lineRule="auto"/>
      </w:pPr>
      <w:r>
        <w:rPr>
          <w:rFonts w:ascii="Calibri" w:hAnsi="Calibri"/>
          <w:color w:val="334155"/>
          <w:sz w:val="21"/>
        </w:rPr>
        <w:t>Traditional WordPiece tokenizers suffer from Out-Of-Vocabulary (OOV) bottlenecks when encountering typos, slang, or rare brand names. RoBERTa overcomes this with a byte-level Byte-Pair Encoding (BPE) vocabulary of V = 50,265 tokens. BPE treats text at the byte level, guaranteeing that any word can be decomposed into subwords without generating unknown &lt;UNK&gt; tokens. The sequence is delimited by start token &lt;s&gt; and boundary &lt;/s&gt;, and right-padded or truncated to maximum sequence length L = 128 tokens.</w:t>
      </w:r>
    </w:p>
    <w:p>
      <w:pPr>
        <w:keepNext/>
        <w:spacing w:before="240" w:after="60"/>
      </w:pPr>
      <w:r>
        <w:rPr>
          <w:rFonts w:ascii="Calibri" w:hAnsi="Calibri"/>
          <w:b/>
          <w:color w:val="0F172A"/>
          <w:sz w:val="24"/>
        </w:rPr>
        <w:t>Step 3: Dual Embedding Layer</w:t>
      </w:r>
    </w:p>
    <w:p>
      <w:pPr>
        <w:spacing w:before="60" w:after="80" w:line="276" w:lineRule="auto"/>
      </w:pPr>
      <w:r>
        <w:rPr>
          <w:rFonts w:ascii="Calibri" w:hAnsi="Calibri"/>
          <w:color w:val="334155"/>
          <w:sz w:val="21"/>
        </w:rPr>
        <w:t>For each token s_i in sequence S of length L &lt;= 128, the input embedding E_i across hidden dimension d_model = 768 is computed as the element-wise addition of token and position embeddings:</w:t>
      </w:r>
    </w:p>
    <w:p>
      <w:pPr>
        <w:spacing w:before="60" w:after="80" w:line="276" w:lineRule="auto"/>
      </w:pPr>
      <w:r>
        <w:rPr>
          <w:rFonts w:ascii="Calibri" w:hAnsi="Calibri"/>
          <w:b/>
          <w:sz w:val="21"/>
        </w:rPr>
        <w:t xml:space="preserve">FORMULA: </w:t>
      </w:r>
      <w:r>
        <w:rPr>
          <w:rFonts w:ascii="Calibri" w:hAnsi="Calibri"/>
          <w:color w:val="334155"/>
          <w:sz w:val="21"/>
        </w:rPr>
        <w:t>E_i = TokenEmbed(s_i) + PosEmbed(i)</w:t>
      </w:r>
    </w:p>
    <w:p>
      <w:pPr>
        <w:spacing w:before="60" w:after="80" w:line="276" w:lineRule="auto"/>
      </w:pPr>
      <w:r>
        <w:rPr>
          <w:rFonts w:ascii="Calibri" w:hAnsi="Calibri"/>
          <w:color w:val="334155"/>
          <w:sz w:val="21"/>
        </w:rPr>
        <w:t>Unlike original transformer sinusoidal encodings, RoBERTa learns its absolute position embeddings directly from training data.</w:t>
      </w:r>
    </w:p>
    <w:p>
      <w:pPr>
        <w:keepNext/>
        <w:spacing w:before="240" w:after="60"/>
      </w:pPr>
      <w:r>
        <w:rPr>
          <w:rFonts w:ascii="Calibri" w:hAnsi="Calibri"/>
          <w:b/>
          <w:color w:val="0F172A"/>
          <w:sz w:val="24"/>
        </w:rPr>
        <w:t>Step 4: Stacked 12-Layer Bidirectional Multi-Head Self-Attention Encoders</w:t>
      </w:r>
    </w:p>
    <w:p>
      <w:pPr>
        <w:spacing w:before="60" w:after="80" w:line="276" w:lineRule="auto"/>
      </w:pPr>
      <w:r>
        <w:rPr>
          <w:rFonts w:ascii="Calibri" w:hAnsi="Calibri"/>
          <w:color w:val="334155"/>
          <w:sz w:val="21"/>
        </w:rPr>
        <w:t>The internal representation is processed across 12 transformer encoder blocks. At layer l, the hidden representation matrix H^(l-1) is projected into Query (Q), Key (K), and Value (V) matrices:</w:t>
      </w:r>
    </w:p>
    <w:p>
      <w:pPr>
        <w:spacing w:before="60" w:after="80" w:line="276" w:lineRule="auto"/>
      </w:pPr>
      <w:r>
        <w:rPr>
          <w:rFonts w:ascii="Calibri" w:hAnsi="Calibri"/>
          <w:b/>
          <w:sz w:val="21"/>
        </w:rPr>
        <w:t xml:space="preserve">PROJECTION: </w:t>
      </w:r>
      <w:r>
        <w:rPr>
          <w:rFonts w:ascii="Calibri" w:hAnsi="Calibri"/>
          <w:color w:val="334155"/>
          <w:sz w:val="21"/>
        </w:rPr>
        <w:t>Q = H^(l-1) W_Q,    K = H^(l-1) W_K,    V = H^(l-1) W_V</w:t>
      </w:r>
    </w:p>
    <w:p>
      <w:pPr>
        <w:spacing w:before="60" w:after="80" w:line="276" w:lineRule="auto"/>
      </w:pPr>
      <w:r>
        <w:rPr>
          <w:rFonts w:ascii="Calibri" w:hAnsi="Calibri"/>
          <w:color w:val="334155"/>
          <w:sz w:val="21"/>
        </w:rPr>
        <w:t>where W_Q, W_K, W_V in R^(768 x 64) for each of the h = 12 attention heads.</w:t>
      </w:r>
    </w:p>
    <w:p>
      <w:pPr>
        <w:spacing w:before="60" w:after="80" w:line="276" w:lineRule="auto"/>
      </w:pPr>
      <w:r>
        <w:rPr>
          <w:rFonts w:ascii="Calibri" w:hAnsi="Calibri"/>
          <w:color w:val="334155"/>
          <w:sz w:val="21"/>
        </w:rPr>
        <w:t>Scaled Dot-Product Attention calculates token compatibility scores normalized by the square root of projection dimension d_k = 64:</w:t>
      </w:r>
    </w:p>
    <w:p>
      <w:pPr>
        <w:spacing w:before="60" w:after="80" w:line="276" w:lineRule="auto"/>
      </w:pPr>
      <w:r>
        <w:rPr>
          <w:rFonts w:ascii="Calibri" w:hAnsi="Calibri"/>
          <w:b/>
          <w:sz w:val="21"/>
        </w:rPr>
        <w:t xml:space="preserve">ATTENTION: </w:t>
      </w:r>
      <w:r>
        <w:rPr>
          <w:rFonts w:ascii="Calibri" w:hAnsi="Calibri"/>
          <w:color w:val="334155"/>
          <w:sz w:val="21"/>
        </w:rPr>
        <w:t>Attention(Q, K, V) = softmax( (Q * K^T) / sqrt(d_k) ) * V</w:t>
      </w:r>
    </w:p>
    <w:p>
      <w:pPr>
        <w:spacing w:before="60" w:after="80" w:line="276" w:lineRule="auto"/>
      </w:pPr>
      <w:r>
        <w:rPr>
          <w:rFonts w:ascii="Calibri" w:hAnsi="Calibri"/>
          <w:color w:val="334155"/>
          <w:sz w:val="21"/>
        </w:rPr>
        <w:t>Outputs from all 12 heads are concatenated and linearly transformed via W^O in R^(768 x 768). This is passed through a position-wise Feed-Forward Network (FFN) with Gaussian Error Linear Unit (GELU) non-linear activation:</w:t>
      </w:r>
    </w:p>
    <w:p>
      <w:pPr>
        <w:spacing w:before="60" w:after="80" w:line="276" w:lineRule="auto"/>
      </w:pPr>
      <w:r>
        <w:rPr>
          <w:rFonts w:ascii="Calibri" w:hAnsi="Calibri"/>
          <w:b/>
          <w:sz w:val="21"/>
        </w:rPr>
        <w:t xml:space="preserve">FFN SUB-LAYER: </w:t>
      </w:r>
      <w:r>
        <w:rPr>
          <w:rFonts w:ascii="Calibri" w:hAnsi="Calibri"/>
          <w:color w:val="334155"/>
          <w:sz w:val="21"/>
        </w:rPr>
        <w:t>FFN(x) = GELU(x W_1 + b_1) W_2 + b_2</w:t>
      </w:r>
    </w:p>
    <w:p>
      <w:pPr>
        <w:spacing w:before="60" w:after="80" w:line="276" w:lineRule="auto"/>
      </w:pPr>
      <w:r>
        <w:rPr>
          <w:rFonts w:ascii="Calibri" w:hAnsi="Calibri"/>
          <w:color w:val="334155"/>
          <w:sz w:val="21"/>
        </w:rPr>
        <w:t>Both sub-layers are wrapped with residual skip connections and Layer Normalization (LayerNorm):</w:t>
      </w:r>
    </w:p>
    <w:p>
      <w:pPr>
        <w:spacing w:before="60" w:after="80" w:line="276" w:lineRule="auto"/>
      </w:pPr>
      <w:r>
        <w:rPr>
          <w:rFonts w:ascii="Calibri" w:hAnsi="Calibri"/>
          <w:b/>
          <w:sz w:val="21"/>
        </w:rPr>
        <w:t xml:space="preserve">RESIDUAL + NORM: </w:t>
      </w:r>
      <w:r>
        <w:rPr>
          <w:rFonts w:ascii="Calibri" w:hAnsi="Calibri"/>
          <w:color w:val="334155"/>
          <w:sz w:val="21"/>
        </w:rPr>
        <w:t>H^(l) = LayerNorm( H'^(l) + FFN(H'^(l)) )</w:t>
      </w:r>
    </w:p>
    <w:p>
      <w:pPr>
        <w:keepNext/>
        <w:spacing w:before="240" w:after="60"/>
      </w:pPr>
      <w:r>
        <w:rPr>
          <w:rFonts w:ascii="Calibri" w:hAnsi="Calibri"/>
          <w:b/>
          <w:color w:val="0F172A"/>
          <w:sz w:val="24"/>
        </w:rPr>
        <w:t>Step 5: Sequence Classification Head &amp; Objective Optimization</w:t>
      </w:r>
    </w:p>
    <w:p>
      <w:pPr>
        <w:spacing w:before="60" w:after="80" w:line="276" w:lineRule="auto"/>
      </w:pPr>
      <w:r>
        <w:rPr>
          <w:rFonts w:ascii="Calibri" w:hAnsi="Calibri"/>
          <w:color w:val="334155"/>
          <w:sz w:val="21"/>
        </w:rPr>
        <w:t>To classify the complete review, the aggregate sequence representation is extracted from the first delimiter token &lt;s&gt;, denoted h_&lt;s&gt; in R^768. It passes through a tanh-activated pooling layer and an affine classification layer:</w:t>
      </w:r>
    </w:p>
    <w:p>
      <w:pPr>
        <w:spacing w:before="60" w:after="80" w:line="276" w:lineRule="auto"/>
      </w:pPr>
      <w:r>
        <w:rPr>
          <w:rFonts w:ascii="Calibri" w:hAnsi="Calibri"/>
          <w:b/>
          <w:sz w:val="21"/>
        </w:rPr>
        <w:t xml:space="preserve">POOLING: </w:t>
      </w:r>
      <w:r>
        <w:rPr>
          <w:rFonts w:ascii="Calibri" w:hAnsi="Calibri"/>
          <w:color w:val="334155"/>
          <w:sz w:val="21"/>
        </w:rPr>
        <w:t>h_pooled = tanh( W_pool * h_&lt;s&gt; + b_pool )</w:t>
      </w:r>
    </w:p>
    <w:p>
      <w:pPr>
        <w:spacing w:before="60" w:after="80" w:line="276" w:lineRule="auto"/>
      </w:pPr>
      <w:r>
        <w:rPr>
          <w:rFonts w:ascii="Calibri" w:hAnsi="Calibri"/>
          <w:b/>
          <w:sz w:val="21"/>
        </w:rPr>
        <w:t xml:space="preserve">PREDICTION: </w:t>
      </w:r>
      <w:r>
        <w:rPr>
          <w:rFonts w:ascii="Calibri" w:hAnsi="Calibri"/>
          <w:color w:val="334155"/>
          <w:sz w:val="21"/>
        </w:rPr>
        <w:t>P(y = 1 | S) = sigmoid( w_clf^T * h_pooled + b_clf )</w:t>
      </w:r>
    </w:p>
    <w:p>
      <w:pPr>
        <w:spacing w:before="60" w:after="80" w:line="276" w:lineRule="auto"/>
      </w:pPr>
      <w:r>
        <w:rPr>
          <w:rFonts w:ascii="Calibri" w:hAnsi="Calibri"/>
          <w:color w:val="334155"/>
          <w:sz w:val="21"/>
        </w:rPr>
        <w:t>The entire network is fine-tuned end-to-end by minimizing Binary Cross-Entropy (BCE) with L2 weight decay regularization:</w:t>
      </w:r>
    </w:p>
    <w:p>
      <w:pPr>
        <w:spacing w:before="60" w:after="80" w:line="276" w:lineRule="auto"/>
      </w:pPr>
      <w:r>
        <w:rPr>
          <w:rFonts w:ascii="Calibri" w:hAnsi="Calibri"/>
          <w:b/>
          <w:sz w:val="21"/>
        </w:rPr>
        <w:t xml:space="preserve">OBJECTIVE LOSS: </w:t>
      </w:r>
      <w:r>
        <w:rPr>
          <w:rFonts w:ascii="Calibri" w:hAnsi="Calibri"/>
          <w:color w:val="334155"/>
          <w:sz w:val="21"/>
        </w:rPr>
        <w:t>L_BCE = - (1 / N) * sum[ y_i * log(y_hat_i) + (1 - y_i) * log(1 - y_hat_i) ] + lambda * ||Theta||_2^2</w:t>
      </w:r>
    </w:p>
    <w:p>
      <w:pPr>
        <w:spacing w:before="60" w:after="80" w:line="276" w:lineRule="auto"/>
      </w:pPr>
      <w:r>
        <w:rPr>
          <w:rFonts w:ascii="Calibri" w:hAnsi="Calibri"/>
          <w:color w:val="334155"/>
          <w:sz w:val="21"/>
        </w:rPr>
        <w:t>Training utilizes the AdamW optimizer with learning rate eta = 2.0 x 10^-5, linear warmup over 10% of steps, batch size B = 16, weight decay lambda = 0.01, and dropout 0.10 over 3 epochs on an NVIDIA GPU.</w:t>
      </w:r>
    </w:p>
    <w:p>
      <w:pPr>
        <w:keepNext/>
        <w:spacing w:before="240" w:after="60"/>
      </w:pPr>
      <w:r>
        <w:rPr>
          <w:rFonts w:ascii="Calibri" w:hAnsi="Calibri"/>
          <w:b/>
          <w:color w:val="0F172A"/>
          <w:sz w:val="24"/>
        </w:rPr>
        <w:t>Step 6: Production Inference API (roberta_api.py)</w:t>
      </w:r>
    </w:p>
    <w:p>
      <w:pPr>
        <w:spacing w:before="60" w:after="80" w:line="276" w:lineRule="auto"/>
      </w:pPr>
      <w:r>
        <w:rPr>
          <w:rFonts w:ascii="Calibri" w:hAnsi="Calibri"/>
          <w:color w:val="334155"/>
          <w:sz w:val="21"/>
        </w:rPr>
        <w:t>The model is deployed via a high-performance FastAPI microservice in roberta_api.py. Clients (including web applications and browser extensions) send POST requests containing review text to http://127.0.0.1:5000/predict. The server tokenizes the input on the fly, executes a forward pass through the fine-tuned RoBERTa encoder using torch.no_grad(), and returns an explainable JSON payload:</w:t>
      </w:r>
    </w:p>
    <w:tbl>
      <w:tblPr>
        <w:tblW w:type="auto" w:w="0"/>
        <w:jc w:val="center"/>
        <w:tblLook w:firstColumn="1" w:firstRow="1" w:lastColumn="0" w:lastRow="0" w:noHBand="0" w:noVBand="1" w:val="04A0"/>
      </w:tblPr>
      <w:tblGrid>
        <w:gridCol w:w="9936"/>
      </w:tblGrid>
      <w:tr>
        <w:tc>
          <w:tcPr>
            <w:tcW w:type="dxa" w:w="9936"/>
            <w:shd w:val="clear" w:color="auto" w:fill="F0F9FF"/>
            <w:tcMar>
              <w:top w:w="100" w:type="dxa"/>
              <w:bottom w:w="100" w:type="dxa"/>
              <w:left w:w="150" w:type="dxa"/>
              <w:right w:w="150" w:type="dxa"/>
            </w:tcMar>
          </w:tcPr>
          <w:p>
            <w:pPr>
              <w:spacing w:before="80" w:after="80"/>
            </w:pPr>
            <w:r>
              <w:rPr>
                <w:b/>
                <w:color w:val="0284C7"/>
                <w:sz w:val="20"/>
              </w:rPr>
              <w:t xml:space="preserve">SAMPLE API RESPONSE: </w:t>
            </w:r>
            <w:r>
              <w:rPr>
                <w:color w:val="0C4A6E"/>
                <w:sz w:val="20"/>
              </w:rPr>
              <w:t>{</w:t>
              <w:br/>
              <w:t xml:space="preserve">  "is_fake": false,</w:t>
              <w:br/>
              <w:t xml:space="preserve">  "confidence": 0.9412,</w:t>
              <w:br/>
              <w:t xml:space="preserve">  "fake_probability": 0.0588,</w:t>
              <w:br/>
              <w:t xml:space="preserve">  "verdict": "GENUINE_REVIEW",</w:t>
              <w:br/>
              <w:t xml:space="preserve">  "model": "roberta-base-finetuned"</w:t>
              <w:br/>
              <w:t>}</w:t>
            </w:r>
          </w:p>
        </w:tc>
      </w:tr>
    </w:tbl>
    <w:p>
      <w:pPr>
        <w:keepNext/>
        <w:spacing w:before="320" w:after="80"/>
      </w:pPr>
      <w:r>
        <w:rPr>
          <w:rFonts w:ascii="Calibri" w:hAnsi="Calibri"/>
          <w:b/>
          <w:color w:val="1E3A8A"/>
          <w:sz w:val="30"/>
        </w:rPr>
        <w:t>4. Benchmark Performance &amp; Comparative Results</w:t>
      </w:r>
    </w:p>
    <w:p>
      <w:pPr>
        <w:spacing w:before="60" w:after="80" w:line="276" w:lineRule="auto"/>
      </w:pPr>
      <w:r>
        <w:rPr>
          <w:rFonts w:ascii="Calibri" w:hAnsi="Calibri"/>
          <w:color w:val="334155"/>
          <w:sz w:val="21"/>
        </w:rPr>
        <w:t>On the held-out test partition of 2,000 reviews (1,000 Real vs. 1,000 Fake), fine-tuned RoBERTa achieves decisive superiority over classical and deep learning baselines: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E2E8F0"/>
            <w:tcMar>
              <w:top w:w="80" w:type="dxa"/>
              <w:bottom w:w="80" w:type="dxa"/>
              <w:left w:w="100" w:type="dxa"/>
              <w:right w:w="100" w:type="dxa"/>
            </w:tcMar>
          </w:tcPr>
          <w:p>
            <w:r>
              <w:rPr>
                <w:b/>
                <w:sz w:val="17"/>
              </w:rPr>
              <w:t>Architecture</w:t>
            </w:r>
          </w:p>
        </w:tc>
        <w:tc>
          <w:tcPr>
            <w:tcW w:type="dxa" w:w="1987"/>
            <w:shd w:val="clear" w:color="auto" w:fill="E2E8F0"/>
            <w:tcMar>
              <w:top w:w="80" w:type="dxa"/>
              <w:bottom w:w="80" w:type="dxa"/>
              <w:left w:w="100" w:type="dxa"/>
              <w:right w:w="100" w:type="dxa"/>
            </w:tcMar>
          </w:tcPr>
          <w:p>
            <w:r>
              <w:rPr>
                <w:b/>
                <w:sz w:val="17"/>
              </w:rPr>
              <w:t>Accuracy</w:t>
            </w:r>
          </w:p>
        </w:tc>
        <w:tc>
          <w:tcPr>
            <w:tcW w:type="dxa" w:w="1987"/>
            <w:shd w:val="clear" w:color="auto" w:fill="E2E8F0"/>
            <w:tcMar>
              <w:top w:w="80" w:type="dxa"/>
              <w:bottom w:w="80" w:type="dxa"/>
              <w:left w:w="100" w:type="dxa"/>
              <w:right w:w="100" w:type="dxa"/>
            </w:tcMar>
          </w:tcPr>
          <w:p>
            <w:r>
              <w:rPr>
                <w:b/>
                <w:sz w:val="17"/>
              </w:rPr>
              <w:t>Precision</w:t>
            </w:r>
          </w:p>
        </w:tc>
        <w:tc>
          <w:tcPr>
            <w:tcW w:type="dxa" w:w="1987"/>
            <w:shd w:val="clear" w:color="auto" w:fill="E2E8F0"/>
            <w:tcMar>
              <w:top w:w="80" w:type="dxa"/>
              <w:bottom w:w="80" w:type="dxa"/>
              <w:left w:w="100" w:type="dxa"/>
              <w:right w:w="100" w:type="dxa"/>
            </w:tcMar>
          </w:tcPr>
          <w:p>
            <w:r>
              <w:rPr>
                <w:b/>
                <w:sz w:val="17"/>
              </w:rPr>
              <w:t>Recall</w:t>
            </w:r>
          </w:p>
        </w:tc>
        <w:tc>
          <w:tcPr>
            <w:tcW w:type="dxa" w:w="1987"/>
            <w:shd w:val="clear" w:color="auto" w:fill="E2E8F0"/>
            <w:tcMar>
              <w:top w:w="80" w:type="dxa"/>
              <w:bottom w:w="80" w:type="dxa"/>
              <w:left w:w="100" w:type="dxa"/>
              <w:right w:w="100" w:type="dxa"/>
            </w:tcMar>
          </w:tcPr>
          <w:p>
            <w:r>
              <w:rPr>
                <w:b/>
                <w:sz w:val="17"/>
              </w:rPr>
              <w:t>Macro F1</w:t>
            </w:r>
          </w:p>
        </w:tc>
      </w:tr>
      <w:tr>
        <w:tc>
          <w:tcPr>
            <w:tcW w:type="dxa" w:w="1987"/>
            <w:tcMar>
              <w:top w:w="60" w:type="dxa"/>
              <w:bottom w:w="60" w:type="dxa"/>
              <w:left w:w="80" w:type="dxa"/>
              <w:right w:w="80" w:type="dxa"/>
            </w:tcMar>
          </w:tcPr>
          <w:p>
            <w:r>
              <w:rPr>
                <w:sz w:val="16"/>
              </w:rPr>
              <w:t>Multinomial Naive Bayes</w:t>
            </w:r>
          </w:p>
        </w:tc>
        <w:tc>
          <w:tcPr>
            <w:tcW w:type="dxa" w:w="1987"/>
            <w:tcMar>
              <w:top w:w="60" w:type="dxa"/>
              <w:bottom w:w="60" w:type="dxa"/>
              <w:left w:w="80" w:type="dxa"/>
              <w:right w:w="80" w:type="dxa"/>
            </w:tcMar>
          </w:tcPr>
          <w:p>
            <w:r>
              <w:rPr>
                <w:sz w:val="16"/>
              </w:rPr>
              <w:t>86.50%</w:t>
            </w:r>
          </w:p>
        </w:tc>
        <w:tc>
          <w:tcPr>
            <w:tcW w:type="dxa" w:w="1987"/>
            <w:tcMar>
              <w:top w:w="60" w:type="dxa"/>
              <w:bottom w:w="60" w:type="dxa"/>
              <w:left w:w="80" w:type="dxa"/>
              <w:right w:w="80" w:type="dxa"/>
            </w:tcMar>
          </w:tcPr>
          <w:p>
            <w:r>
              <w:rPr>
                <w:sz w:val="16"/>
              </w:rPr>
              <w:t>83.81%</w:t>
            </w:r>
          </w:p>
        </w:tc>
        <w:tc>
          <w:tcPr>
            <w:tcW w:type="dxa" w:w="1987"/>
            <w:tcMar>
              <w:top w:w="60" w:type="dxa"/>
              <w:bottom w:w="60" w:type="dxa"/>
              <w:left w:w="80" w:type="dxa"/>
              <w:right w:w="80" w:type="dxa"/>
            </w:tcMar>
          </w:tcPr>
          <w:p>
            <w:r>
              <w:rPr>
                <w:sz w:val="16"/>
              </w:rPr>
              <w:t>90.78%</w:t>
            </w:r>
          </w:p>
        </w:tc>
        <w:tc>
          <w:tcPr>
            <w:tcW w:type="dxa" w:w="1987"/>
            <w:tcMar>
              <w:top w:w="60" w:type="dxa"/>
              <w:bottom w:w="60" w:type="dxa"/>
              <w:left w:w="80" w:type="dxa"/>
              <w:right w:w="80" w:type="dxa"/>
            </w:tcMar>
          </w:tcPr>
          <w:p>
            <w:r>
              <w:rPr>
                <w:sz w:val="16"/>
              </w:rPr>
              <w:t>87.16%</w:t>
            </w:r>
          </w:p>
        </w:tc>
      </w:tr>
      <w:tr>
        <w:tc>
          <w:tcPr>
            <w:tcW w:type="dxa" w:w="1987"/>
            <w:tcMar>
              <w:top w:w="60" w:type="dxa"/>
              <w:bottom w:w="60" w:type="dxa"/>
              <w:left w:w="80" w:type="dxa"/>
              <w:right w:w="80" w:type="dxa"/>
            </w:tcMar>
          </w:tcPr>
          <w:p>
            <w:r>
              <w:rPr>
                <w:sz w:val="16"/>
              </w:rPr>
              <w:t>Linear SVM (TF-IDF)</w:t>
            </w:r>
          </w:p>
        </w:tc>
        <w:tc>
          <w:tcPr>
            <w:tcW w:type="dxa" w:w="1987"/>
            <w:tcMar>
              <w:top w:w="60" w:type="dxa"/>
              <w:bottom w:w="60" w:type="dxa"/>
              <w:left w:w="80" w:type="dxa"/>
              <w:right w:w="80" w:type="dxa"/>
            </w:tcMar>
          </w:tcPr>
          <w:p>
            <w:r>
              <w:rPr>
                <w:sz w:val="16"/>
              </w:rPr>
              <w:t>88.15%</w:t>
            </w:r>
          </w:p>
        </w:tc>
        <w:tc>
          <w:tcPr>
            <w:tcW w:type="dxa" w:w="1987"/>
            <w:tcMar>
              <w:top w:w="60" w:type="dxa"/>
              <w:bottom w:w="60" w:type="dxa"/>
              <w:left w:w="80" w:type="dxa"/>
              <w:right w:w="80" w:type="dxa"/>
            </w:tcMar>
          </w:tcPr>
          <w:p>
            <w:r>
              <w:rPr>
                <w:sz w:val="16"/>
              </w:rPr>
              <w:t>91.51%</w:t>
            </w:r>
          </w:p>
        </w:tc>
        <w:tc>
          <w:tcPr>
            <w:tcW w:type="dxa" w:w="1987"/>
            <w:tcMar>
              <w:top w:w="60" w:type="dxa"/>
              <w:bottom w:w="60" w:type="dxa"/>
              <w:left w:w="80" w:type="dxa"/>
              <w:right w:w="80" w:type="dxa"/>
            </w:tcMar>
          </w:tcPr>
          <w:p>
            <w:r>
              <w:rPr>
                <w:sz w:val="16"/>
              </w:rPr>
              <w:t>84.34%</w:t>
            </w:r>
          </w:p>
        </w:tc>
        <w:tc>
          <w:tcPr>
            <w:tcW w:type="dxa" w:w="1987"/>
            <w:tcMar>
              <w:top w:w="60" w:type="dxa"/>
              <w:bottom w:w="60" w:type="dxa"/>
              <w:left w:w="80" w:type="dxa"/>
              <w:right w:w="80" w:type="dxa"/>
            </w:tcMar>
          </w:tcPr>
          <w:p>
            <w:r>
              <w:rPr>
                <w:sz w:val="16"/>
              </w:rPr>
              <w:t>87.78%</w:t>
            </w:r>
          </w:p>
        </w:tc>
      </w:tr>
      <w:tr>
        <w:tc>
          <w:tcPr>
            <w:tcW w:type="dxa" w:w="1987"/>
            <w:tcMar>
              <w:top w:w="60" w:type="dxa"/>
              <w:bottom w:w="60" w:type="dxa"/>
              <w:left w:w="80" w:type="dxa"/>
              <w:right w:w="80" w:type="dxa"/>
            </w:tcMar>
          </w:tcPr>
          <w:p>
            <w:r>
              <w:rPr>
                <w:sz w:val="16"/>
              </w:rPr>
              <w:t>Logistic Regression (L2)</w:t>
            </w:r>
          </w:p>
        </w:tc>
        <w:tc>
          <w:tcPr>
            <w:tcW w:type="dxa" w:w="1987"/>
            <w:tcMar>
              <w:top w:w="60" w:type="dxa"/>
              <w:bottom w:w="60" w:type="dxa"/>
              <w:left w:w="80" w:type="dxa"/>
              <w:right w:w="80" w:type="dxa"/>
            </w:tcMar>
          </w:tcPr>
          <w:p>
            <w:r>
              <w:rPr>
                <w:sz w:val="16"/>
              </w:rPr>
              <w:t>88.85%</w:t>
            </w:r>
          </w:p>
        </w:tc>
        <w:tc>
          <w:tcPr>
            <w:tcW w:type="dxa" w:w="1987"/>
            <w:tcMar>
              <w:top w:w="60" w:type="dxa"/>
              <w:bottom w:w="60" w:type="dxa"/>
              <w:left w:w="80" w:type="dxa"/>
              <w:right w:w="80" w:type="dxa"/>
            </w:tcMar>
          </w:tcPr>
          <w:p>
            <w:r>
              <w:rPr>
                <w:sz w:val="16"/>
              </w:rPr>
              <w:t>93.57%</w:t>
            </w:r>
          </w:p>
        </w:tc>
        <w:tc>
          <w:tcPr>
            <w:tcW w:type="dxa" w:w="1987"/>
            <w:tcMar>
              <w:top w:w="60" w:type="dxa"/>
              <w:bottom w:w="60" w:type="dxa"/>
              <w:left w:w="80" w:type="dxa"/>
              <w:right w:w="80" w:type="dxa"/>
            </w:tcMar>
          </w:tcPr>
          <w:p>
            <w:r>
              <w:rPr>
                <w:sz w:val="16"/>
              </w:rPr>
              <w:t>83.65%</w:t>
            </w:r>
          </w:p>
        </w:tc>
        <w:tc>
          <w:tcPr>
            <w:tcW w:type="dxa" w:w="1987"/>
            <w:tcMar>
              <w:top w:w="60" w:type="dxa"/>
              <w:bottom w:w="60" w:type="dxa"/>
              <w:left w:w="80" w:type="dxa"/>
              <w:right w:w="80" w:type="dxa"/>
            </w:tcMar>
          </w:tcPr>
          <w:p>
            <w:r>
              <w:rPr>
                <w:sz w:val="16"/>
              </w:rPr>
              <w:t>88.33%</w:t>
            </w:r>
          </w:p>
        </w:tc>
      </w:tr>
      <w:tr>
        <w:tc>
          <w:tcPr>
            <w:tcW w:type="dxa" w:w="1987"/>
            <w:tcMar>
              <w:top w:w="60" w:type="dxa"/>
              <w:bottom w:w="60" w:type="dxa"/>
              <w:left w:w="80" w:type="dxa"/>
              <w:right w:w="80" w:type="dxa"/>
            </w:tcMar>
          </w:tcPr>
          <w:p>
            <w:r>
              <w:rPr>
                <w:sz w:val="16"/>
              </w:rPr>
              <w:t>BiLSTM (GloVe 300D)</w:t>
            </w:r>
          </w:p>
        </w:tc>
        <w:tc>
          <w:tcPr>
            <w:tcW w:type="dxa" w:w="1987"/>
            <w:tcMar>
              <w:top w:w="60" w:type="dxa"/>
              <w:bottom w:w="60" w:type="dxa"/>
              <w:left w:w="80" w:type="dxa"/>
              <w:right w:w="80" w:type="dxa"/>
            </w:tcMar>
          </w:tcPr>
          <w:p>
            <w:r>
              <w:rPr>
                <w:sz w:val="16"/>
              </w:rPr>
              <w:t>88.60%</w:t>
            </w:r>
          </w:p>
        </w:tc>
        <w:tc>
          <w:tcPr>
            <w:tcW w:type="dxa" w:w="1987"/>
            <w:tcMar>
              <w:top w:w="60" w:type="dxa"/>
              <w:bottom w:w="60" w:type="dxa"/>
              <w:left w:w="80" w:type="dxa"/>
              <w:right w:w="80" w:type="dxa"/>
            </w:tcMar>
          </w:tcPr>
          <w:p>
            <w:r>
              <w:rPr>
                <w:sz w:val="16"/>
              </w:rPr>
              <w:t>88.10%</w:t>
            </w:r>
          </w:p>
        </w:tc>
        <w:tc>
          <w:tcPr>
            <w:tcW w:type="dxa" w:w="1987"/>
            <w:tcMar>
              <w:top w:w="60" w:type="dxa"/>
              <w:bottom w:w="60" w:type="dxa"/>
              <w:left w:w="80" w:type="dxa"/>
              <w:right w:w="80" w:type="dxa"/>
            </w:tcMar>
          </w:tcPr>
          <w:p>
            <w:r>
              <w:rPr>
                <w:sz w:val="16"/>
              </w:rPr>
              <w:t>89.30%</w:t>
            </w:r>
          </w:p>
        </w:tc>
        <w:tc>
          <w:tcPr>
            <w:tcW w:type="dxa" w:w="1987"/>
            <w:tcMar>
              <w:top w:w="60" w:type="dxa"/>
              <w:bottom w:w="60" w:type="dxa"/>
              <w:left w:w="80" w:type="dxa"/>
              <w:right w:w="80" w:type="dxa"/>
            </w:tcMar>
          </w:tcPr>
          <w:p>
            <w:r>
              <w:rPr>
                <w:sz w:val="16"/>
              </w:rPr>
              <w:t>88.70%</w:t>
            </w:r>
          </w:p>
        </w:tc>
      </w:tr>
      <w:tr>
        <w:tc>
          <w:tcPr>
            <w:tcW w:type="dxa" w:w="1987"/>
            <w:tcMar>
              <w:top w:w="60" w:type="dxa"/>
              <w:bottom w:w="60" w:type="dxa"/>
              <w:left w:w="80" w:type="dxa"/>
              <w:right w:w="80" w:type="dxa"/>
            </w:tcMar>
          </w:tcPr>
          <w:p>
            <w:r>
              <w:rPr>
                <w:sz w:val="16"/>
              </w:rPr>
              <w:t>BERT-Base (Google)</w:t>
            </w:r>
          </w:p>
        </w:tc>
        <w:tc>
          <w:tcPr>
            <w:tcW w:type="dxa" w:w="1987"/>
            <w:tcMar>
              <w:top w:w="60" w:type="dxa"/>
              <w:bottom w:w="60" w:type="dxa"/>
              <w:left w:w="80" w:type="dxa"/>
              <w:right w:w="80" w:type="dxa"/>
            </w:tcMar>
          </w:tcPr>
          <w:p>
            <w:r>
              <w:rPr>
                <w:sz w:val="16"/>
              </w:rPr>
              <w:t>92.40%</w:t>
            </w:r>
          </w:p>
        </w:tc>
        <w:tc>
          <w:tcPr>
            <w:tcW w:type="dxa" w:w="1987"/>
            <w:tcMar>
              <w:top w:w="60" w:type="dxa"/>
              <w:bottom w:w="60" w:type="dxa"/>
              <w:left w:w="80" w:type="dxa"/>
              <w:right w:w="80" w:type="dxa"/>
            </w:tcMar>
          </w:tcPr>
          <w:p>
            <w:r>
              <w:rPr>
                <w:sz w:val="16"/>
              </w:rPr>
              <w:t>91.80%</w:t>
            </w:r>
          </w:p>
        </w:tc>
        <w:tc>
          <w:tcPr>
            <w:tcW w:type="dxa" w:w="1987"/>
            <w:tcMar>
              <w:top w:w="60" w:type="dxa"/>
              <w:bottom w:w="60" w:type="dxa"/>
              <w:left w:w="80" w:type="dxa"/>
              <w:right w:w="80" w:type="dxa"/>
            </w:tcMar>
          </w:tcPr>
          <w:p>
            <w:r>
              <w:rPr>
                <w:sz w:val="16"/>
              </w:rPr>
              <w:t>93.10%</w:t>
            </w:r>
          </w:p>
        </w:tc>
        <w:tc>
          <w:tcPr>
            <w:tcW w:type="dxa" w:w="1987"/>
            <w:tcMar>
              <w:top w:w="60" w:type="dxa"/>
              <w:bottom w:w="60" w:type="dxa"/>
              <w:left w:w="80" w:type="dxa"/>
              <w:right w:w="80" w:type="dxa"/>
            </w:tcMar>
          </w:tcPr>
          <w:p>
            <w:r>
              <w:rPr>
                <w:sz w:val="16"/>
              </w:rPr>
              <w:t>92.40%</w:t>
            </w:r>
          </w:p>
        </w:tc>
      </w:tr>
      <w:tr>
        <w:tc>
          <w:tcPr>
            <w:tcW w:type="dxa" w:w="1987"/>
            <w:tcMar>
              <w:top w:w="60" w:type="dxa"/>
              <w:bottom w:w="60" w:type="dxa"/>
              <w:left w:w="80" w:type="dxa"/>
              <w:right w:w="80" w:type="dxa"/>
            </w:tcMar>
            <w:shd w:val="clear" w:color="auto" w:fill="DCFCE7"/>
          </w:tcPr>
          <w:p>
            <w:r>
              <w:rPr>
                <w:b/>
                <w:sz w:val="16"/>
              </w:rPr>
              <w:t>RoBERTa-Base (Ours)</w:t>
            </w:r>
          </w:p>
        </w:tc>
        <w:tc>
          <w:tcPr>
            <w:tcW w:type="dxa" w:w="1987"/>
            <w:tcMar>
              <w:top w:w="60" w:type="dxa"/>
              <w:bottom w:w="60" w:type="dxa"/>
              <w:left w:w="80" w:type="dxa"/>
              <w:right w:w="80" w:type="dxa"/>
            </w:tcMar>
            <w:shd w:val="clear" w:color="auto" w:fill="DCFCE7"/>
          </w:tcPr>
          <w:p>
            <w:r>
              <w:rPr>
                <w:b/>
                <w:sz w:val="16"/>
              </w:rPr>
              <w:t>93.10%</w:t>
            </w:r>
          </w:p>
        </w:tc>
        <w:tc>
          <w:tcPr>
            <w:tcW w:type="dxa" w:w="1987"/>
            <w:tcMar>
              <w:top w:w="60" w:type="dxa"/>
              <w:bottom w:w="60" w:type="dxa"/>
              <w:left w:w="80" w:type="dxa"/>
              <w:right w:w="80" w:type="dxa"/>
            </w:tcMar>
            <w:shd w:val="clear" w:color="auto" w:fill="DCFCE7"/>
          </w:tcPr>
          <w:p>
            <w:r>
              <w:rPr>
                <w:b/>
                <w:sz w:val="16"/>
              </w:rPr>
              <w:t>92.60%</w:t>
            </w:r>
          </w:p>
        </w:tc>
        <w:tc>
          <w:tcPr>
            <w:tcW w:type="dxa" w:w="1987"/>
            <w:tcMar>
              <w:top w:w="60" w:type="dxa"/>
              <w:bottom w:w="60" w:type="dxa"/>
              <w:left w:w="80" w:type="dxa"/>
              <w:right w:w="80" w:type="dxa"/>
            </w:tcMar>
            <w:shd w:val="clear" w:color="auto" w:fill="DCFCE7"/>
          </w:tcPr>
          <w:p>
            <w:r>
              <w:rPr>
                <w:b/>
                <w:sz w:val="16"/>
              </w:rPr>
              <w:t>93.70%</w:t>
            </w:r>
          </w:p>
        </w:tc>
        <w:tc>
          <w:tcPr>
            <w:tcW w:type="dxa" w:w="1987"/>
            <w:tcMar>
              <w:top w:w="60" w:type="dxa"/>
              <w:bottom w:w="60" w:type="dxa"/>
              <w:left w:w="80" w:type="dxa"/>
              <w:right w:w="80" w:type="dxa"/>
            </w:tcMar>
            <w:shd w:val="clear" w:color="auto" w:fill="DCFCE7"/>
          </w:tcPr>
          <w:p>
            <w:r>
              <w:rPr>
                <w:b/>
                <w:sz w:val="16"/>
              </w:rPr>
              <w:t>93.10%</w:t>
            </w:r>
          </w:p>
        </w:tc>
      </w:tr>
    </w:tbl>
    <w:p>
      <w:pPr>
        <w:keepNext/>
        <w:spacing w:before="240" w:after="60"/>
      </w:pPr>
      <w:r>
        <w:rPr>
          <w:rFonts w:ascii="Calibri" w:hAnsi="Calibri"/>
          <w:b/>
          <w:color w:val="0F172A"/>
          <w:sz w:val="24"/>
        </w:rPr>
        <w:t>Confusion Matrix Breakdown (N = 2,000 Held-Out Reviews)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E2E8F0"/>
            <w:tcMar>
              <w:top w:w="80" w:type="dxa"/>
              <w:bottom w:w="80" w:type="dxa"/>
              <w:left w:w="100" w:type="dxa"/>
              <w:right w:w="100" w:type="dxa"/>
            </w:tcMar>
          </w:tcPr>
          <w:p>
            <w:r>
              <w:rPr>
                <w:b/>
                <w:sz w:val="17"/>
              </w:rPr>
              <w:t>Metric Category</w:t>
            </w:r>
          </w:p>
        </w:tc>
        <w:tc>
          <w:tcPr>
            <w:tcW w:type="dxa" w:w="2484"/>
            <w:shd w:val="clear" w:color="auto" w:fill="E2E8F0"/>
            <w:tcMar>
              <w:top w:w="80" w:type="dxa"/>
              <w:bottom w:w="80" w:type="dxa"/>
              <w:left w:w="100" w:type="dxa"/>
              <w:right w:w="100" w:type="dxa"/>
            </w:tcMar>
          </w:tcPr>
          <w:p>
            <w:r>
              <w:rPr>
                <w:b/>
                <w:sz w:val="17"/>
              </w:rPr>
              <w:t>Predicted Real (OR)</w:t>
            </w:r>
          </w:p>
        </w:tc>
        <w:tc>
          <w:tcPr>
            <w:tcW w:type="dxa" w:w="2484"/>
            <w:shd w:val="clear" w:color="auto" w:fill="E2E8F0"/>
            <w:tcMar>
              <w:top w:w="80" w:type="dxa"/>
              <w:bottom w:w="80" w:type="dxa"/>
              <w:left w:w="100" w:type="dxa"/>
              <w:right w:w="100" w:type="dxa"/>
            </w:tcMar>
          </w:tcPr>
          <w:p>
            <w:r>
              <w:rPr>
                <w:b/>
                <w:sz w:val="17"/>
              </w:rPr>
              <w:t>Predicted Fake (CG)</w:t>
            </w:r>
          </w:p>
        </w:tc>
        <w:tc>
          <w:tcPr>
            <w:tcW w:type="dxa" w:w="2484"/>
            <w:shd w:val="clear" w:color="auto" w:fill="E2E8F0"/>
            <w:tcMar>
              <w:top w:w="80" w:type="dxa"/>
              <w:bottom w:w="80" w:type="dxa"/>
              <w:left w:w="100" w:type="dxa"/>
              <w:right w:w="100" w:type="dxa"/>
            </w:tcMar>
          </w:tcPr>
          <w:p>
            <w:r>
              <w:rPr>
                <w:b/>
                <w:sz w:val="17"/>
              </w:rPr>
              <w:t>Total Ground Truth</w:t>
            </w:r>
          </w:p>
        </w:tc>
      </w:tr>
      <w:tr>
        <w:tc>
          <w:tcPr>
            <w:tcW w:type="dxa" w:w="2484"/>
            <w:tcMar>
              <w:top w:w="60" w:type="dxa"/>
              <w:bottom w:w="60" w:type="dxa"/>
              <w:left w:w="80" w:type="dxa"/>
              <w:right w:w="80" w:type="dxa"/>
            </w:tcMar>
          </w:tcPr>
          <w:p>
            <w:r>
              <w:rPr>
                <w:sz w:val="16"/>
              </w:rPr>
              <w:t>Actual Real (OR)</w:t>
            </w:r>
          </w:p>
        </w:tc>
        <w:tc>
          <w:tcPr>
            <w:tcW w:type="dxa" w:w="2484"/>
            <w:tcMar>
              <w:top w:w="60" w:type="dxa"/>
              <w:bottom w:w="60" w:type="dxa"/>
              <w:left w:w="80" w:type="dxa"/>
              <w:right w:w="80" w:type="dxa"/>
            </w:tcMar>
          </w:tcPr>
          <w:p>
            <w:r>
              <w:rPr>
                <w:sz w:val="16"/>
              </w:rPr>
              <w:t>925 (True Negatives)</w:t>
            </w:r>
          </w:p>
        </w:tc>
        <w:tc>
          <w:tcPr>
            <w:tcW w:type="dxa" w:w="2484"/>
            <w:tcMar>
              <w:top w:w="60" w:type="dxa"/>
              <w:bottom w:w="60" w:type="dxa"/>
              <w:left w:w="80" w:type="dxa"/>
              <w:right w:w="80" w:type="dxa"/>
            </w:tcMar>
          </w:tcPr>
          <w:p>
            <w:r>
              <w:rPr>
                <w:sz w:val="16"/>
              </w:rPr>
              <w:t>75 (False Positives)</w:t>
            </w:r>
          </w:p>
        </w:tc>
        <w:tc>
          <w:tcPr>
            <w:tcW w:type="dxa" w:w="2484"/>
            <w:tcMar>
              <w:top w:w="60" w:type="dxa"/>
              <w:bottom w:w="60" w:type="dxa"/>
              <w:left w:w="80" w:type="dxa"/>
              <w:right w:w="80" w:type="dxa"/>
            </w:tcMar>
          </w:tcPr>
          <w:p>
            <w:r>
              <w:rPr>
                <w:sz w:val="16"/>
              </w:rPr>
              <w:t>1,000 (Specificity: 92.5%)</w:t>
            </w:r>
          </w:p>
        </w:tc>
      </w:tr>
      <w:tr>
        <w:tc>
          <w:tcPr>
            <w:tcW w:type="dxa" w:w="2484"/>
            <w:tcMar>
              <w:top w:w="60" w:type="dxa"/>
              <w:bottom w:w="60" w:type="dxa"/>
              <w:left w:w="80" w:type="dxa"/>
              <w:right w:w="80" w:type="dxa"/>
            </w:tcMar>
          </w:tcPr>
          <w:p>
            <w:r>
              <w:rPr>
                <w:sz w:val="16"/>
              </w:rPr>
              <w:t>Actual Fake (CG)</w:t>
            </w:r>
          </w:p>
        </w:tc>
        <w:tc>
          <w:tcPr>
            <w:tcW w:type="dxa" w:w="2484"/>
            <w:tcMar>
              <w:top w:w="60" w:type="dxa"/>
              <w:bottom w:w="60" w:type="dxa"/>
              <w:left w:w="80" w:type="dxa"/>
              <w:right w:w="80" w:type="dxa"/>
            </w:tcMar>
          </w:tcPr>
          <w:p>
            <w:r>
              <w:rPr>
                <w:sz w:val="16"/>
              </w:rPr>
              <w:t>63 (False Negatives)</w:t>
            </w:r>
          </w:p>
        </w:tc>
        <w:tc>
          <w:tcPr>
            <w:tcW w:type="dxa" w:w="2484"/>
            <w:tcMar>
              <w:top w:w="60" w:type="dxa"/>
              <w:bottom w:w="60" w:type="dxa"/>
              <w:left w:w="80" w:type="dxa"/>
              <w:right w:w="80" w:type="dxa"/>
            </w:tcMar>
          </w:tcPr>
          <w:p>
            <w:r>
              <w:rPr>
                <w:sz w:val="16"/>
              </w:rPr>
              <w:t>937 (True Positives)</w:t>
            </w:r>
          </w:p>
        </w:tc>
        <w:tc>
          <w:tcPr>
            <w:tcW w:type="dxa" w:w="2484"/>
            <w:tcMar>
              <w:top w:w="60" w:type="dxa"/>
              <w:bottom w:w="60" w:type="dxa"/>
              <w:left w:w="80" w:type="dxa"/>
              <w:right w:w="80" w:type="dxa"/>
            </w:tcMar>
          </w:tcPr>
          <w:p>
            <w:r>
              <w:rPr>
                <w:sz w:val="16"/>
              </w:rPr>
              <w:t>1,000 (Sensitivity: 93.7%)</w:t>
            </w:r>
          </w:p>
        </w:tc>
      </w:tr>
      <w:tr>
        <w:tc>
          <w:tcPr>
            <w:tcW w:type="dxa" w:w="2484"/>
            <w:tcMar>
              <w:top w:w="60" w:type="dxa"/>
              <w:bottom w:w="60" w:type="dxa"/>
              <w:left w:w="80" w:type="dxa"/>
              <w:right w:w="80" w:type="dxa"/>
            </w:tcMar>
          </w:tcPr>
          <w:p>
            <w:r>
              <w:rPr>
                <w:sz w:val="16"/>
              </w:rPr>
              <w:t>Total Predictions</w:t>
            </w:r>
          </w:p>
        </w:tc>
        <w:tc>
          <w:tcPr>
            <w:tcW w:type="dxa" w:w="2484"/>
            <w:tcMar>
              <w:top w:w="60" w:type="dxa"/>
              <w:bottom w:w="60" w:type="dxa"/>
              <w:left w:w="80" w:type="dxa"/>
              <w:right w:w="80" w:type="dxa"/>
            </w:tcMar>
          </w:tcPr>
          <w:p>
            <w:r>
              <w:rPr>
                <w:sz w:val="16"/>
              </w:rPr>
              <w:t>988</w:t>
            </w:r>
          </w:p>
        </w:tc>
        <w:tc>
          <w:tcPr>
            <w:tcW w:type="dxa" w:w="2484"/>
            <w:tcMar>
              <w:top w:w="60" w:type="dxa"/>
              <w:bottom w:w="60" w:type="dxa"/>
              <w:left w:w="80" w:type="dxa"/>
              <w:right w:w="80" w:type="dxa"/>
            </w:tcMar>
          </w:tcPr>
          <w:p>
            <w:r>
              <w:rPr>
                <w:sz w:val="16"/>
              </w:rPr>
              <w:t>1,012</w:t>
            </w:r>
          </w:p>
        </w:tc>
        <w:tc>
          <w:tcPr>
            <w:tcW w:type="dxa" w:w="2484"/>
            <w:tcMar>
              <w:top w:w="60" w:type="dxa"/>
              <w:bottom w:w="60" w:type="dxa"/>
              <w:left w:w="80" w:type="dxa"/>
              <w:right w:w="80" w:type="dxa"/>
            </w:tcMar>
          </w:tcPr>
          <w:p>
            <w:r>
              <w:rPr>
                <w:sz w:val="16"/>
              </w:rPr>
              <w:t>2,000 (Accuracy: 93.1%)</w:t>
            </w:r>
          </w:p>
        </w:tc>
      </w:tr>
    </w:tbl>
    <w:p>
      <w:pPr>
        <w:keepNext/>
        <w:spacing w:before="320" w:after="80"/>
      </w:pPr>
      <w:r>
        <w:rPr>
          <w:rFonts w:ascii="Calibri" w:hAnsi="Calibri"/>
          <w:b/>
          <w:color w:val="1E3A8A"/>
          <w:sz w:val="30"/>
        </w:rPr>
        <w:t>5. Summary of Why RoBERTa Succeeds</w:t>
      </w:r>
    </w:p>
    <w:p>
      <w:pPr>
        <w:spacing w:before="60" w:after="80" w:line="276" w:lineRule="auto"/>
      </w:pPr>
      <w:r>
        <w:rPr>
          <w:rFonts w:ascii="Calibri" w:hAnsi="Calibri"/>
          <w:color w:val="334155"/>
          <w:sz w:val="21"/>
        </w:rPr>
        <w:t>1. Dynamic Subword Masking: Unlike BERT which masks tokens once during data preprocessing, RoBERTa generates dynamic masking patterns across training iterations, forcing the model to learn versatile semantic representations.</w:t>
      </w:r>
    </w:p>
    <w:p>
      <w:pPr>
        <w:spacing w:before="60" w:after="80" w:line="276" w:lineRule="auto"/>
      </w:pPr>
      <w:r>
        <w:rPr>
          <w:rFonts w:ascii="Calibri" w:hAnsi="Calibri"/>
          <w:color w:val="334155"/>
          <w:sz w:val="21"/>
        </w:rPr>
        <w:t>2. Byte-Level BPE Robustness: BPE eliminates Out-Of-Vocabulary failures on consumer reviews filled with informal slang, typos, and unconventional punctuation.</w:t>
      </w:r>
    </w:p>
    <w:p>
      <w:pPr>
        <w:spacing w:before="60" w:after="80" w:line="276" w:lineRule="auto"/>
      </w:pPr>
      <w:r>
        <w:rPr>
          <w:rFonts w:ascii="Calibri" w:hAnsi="Calibri"/>
          <w:color w:val="334155"/>
          <w:sz w:val="21"/>
        </w:rPr>
        <w:t>3. Capturing Affective Dissonance: While synthetic AI reviews display perfect grammar and high sentiment, RoBERTa detects subtle predicate-argument imbalances, formulaic narrative framing, and artificial affective uniformity that human eyes and linear models miss.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