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00"/>
        <w:jc w:val="center"/>
      </w:pPr>
      <w:r>
        <w:rPr>
          <w:rFonts w:ascii="Times New Roman" w:hAnsi="Times New Roman"/>
          <w:b/>
          <w:sz w:val="42"/>
        </w:rPr>
        <w:t>Deceptive Opinion Spam Identification via Fine-Tuned RoBERTa Contextual Architecture and Real-Time Browser Extension Deployment</w:t>
      </w:r>
    </w:p>
    <w:tbl>
      <w:tblPr>
        <w:tblW w:type="auto" w:w="0"/>
        <w:jc w:val="center"/>
        <w:tblLayout w:type="fixed"/>
        <w:tblLook w:firstColumn="1" w:firstRow="1" w:lastColumn="0" w:lastRow="0" w:noHBand="0" w:noVBand="1" w:val="04A0"/>
      </w:tblPr>
      <w:tblGrid>
        <w:gridCol w:w="2606"/>
        <w:gridCol w:w="2606"/>
        <w:gridCol w:w="2606"/>
        <w:gridCol w:w="2606"/>
      </w:tblGrid>
      <w:tr>
        <w:tc>
          <w:tcPr>
            <w:tcW w:type="dxa" w:w="2606"/>
            <w:tcBorders>
              <w:top w:val="none"/>
              <w:left w:val="none"/>
              <w:bottom w:val="none"/>
              <w:right w:val="none"/>
            </w:tcBorders>
          </w:tcPr>
          <w:p>
            <w:pPr>
              <w:spacing w:before="0" w:after="280" w:line="252" w:lineRule="auto"/>
              <w:jc w:val="center"/>
            </w:pPr>
            <w:r>
              <w:rPr>
                <w:rFonts w:ascii="Times New Roman" w:hAnsi="Times New Roman"/>
                <w:b/>
                <w:sz w:val="20"/>
              </w:rPr>
              <w:t>Vrushan Patil</w:t>
              <w:br/>
            </w:r>
            <w:r>
              <w:rPr>
                <w:rFonts w:ascii="Times New Roman" w:hAnsi="Times New Roman"/>
                <w:sz w:val="17"/>
              </w:rPr>
              <w:t>Dept. of Electronics and</w:t>
              <w:br/>
              <w:t>Computer Science</w:t>
              <w:br/>
              <w:t>Vidyalankar Institute of</w:t>
              <w:br/>
              <w:t>Technology</w:t>
              <w:br/>
              <w:t>Mumbai, India</w:t>
              <w:br/>
              <w:t>vrushan.patil@vit.edu.in</w:t>
            </w:r>
          </w:p>
        </w:tc>
        <w:tc>
          <w:tcPr>
            <w:tcW w:type="dxa" w:w="2606"/>
            <w:tcBorders>
              <w:top w:val="none"/>
              <w:left w:val="none"/>
              <w:bottom w:val="none"/>
              <w:right w:val="none"/>
            </w:tcBorders>
          </w:tcPr>
          <w:p>
            <w:pPr>
              <w:spacing w:before="0" w:after="280" w:line="252" w:lineRule="auto"/>
              <w:jc w:val="center"/>
            </w:pPr>
            <w:r>
              <w:rPr>
                <w:rFonts w:ascii="Times New Roman" w:hAnsi="Times New Roman"/>
                <w:b/>
                <w:sz w:val="20"/>
              </w:rPr>
              <w:t>Gopal Prusty</w:t>
              <w:br/>
            </w:r>
            <w:r>
              <w:rPr>
                <w:rFonts w:ascii="Times New Roman" w:hAnsi="Times New Roman"/>
                <w:sz w:val="17"/>
              </w:rPr>
              <w:t>Dept. of Electronics and</w:t>
              <w:br/>
              <w:t>Computer Science</w:t>
              <w:br/>
              <w:t>Vidyalankar Institute of</w:t>
              <w:br/>
              <w:t>Technology</w:t>
              <w:br/>
              <w:t>Mumbai, India</w:t>
              <w:br/>
              <w:t>gopal.prusty@vit.edu.in</w:t>
            </w:r>
          </w:p>
        </w:tc>
        <w:tc>
          <w:tcPr>
            <w:tcW w:type="dxa" w:w="2606"/>
            <w:tcBorders>
              <w:top w:val="none"/>
              <w:left w:val="none"/>
              <w:bottom w:val="none"/>
              <w:right w:val="none"/>
            </w:tcBorders>
          </w:tcPr>
          <w:p>
            <w:pPr>
              <w:spacing w:before="0" w:after="280" w:line="252" w:lineRule="auto"/>
              <w:jc w:val="center"/>
            </w:pPr>
            <w:r>
              <w:rPr>
                <w:rFonts w:ascii="Times New Roman" w:hAnsi="Times New Roman"/>
                <w:b/>
                <w:sz w:val="20"/>
              </w:rPr>
              <w:t>Aditya Tambe</w:t>
              <w:br/>
            </w:r>
            <w:r>
              <w:rPr>
                <w:rFonts w:ascii="Times New Roman" w:hAnsi="Times New Roman"/>
                <w:sz w:val="17"/>
              </w:rPr>
              <w:t>Dept. of Electronics and</w:t>
              <w:br/>
              <w:t>Computer Science</w:t>
              <w:br/>
              <w:t>Vidyalankar Institute of</w:t>
              <w:br/>
              <w:t>Technology</w:t>
              <w:br/>
              <w:t>Mumbai, India</w:t>
              <w:br/>
              <w:t>aditya.tambe@vit.edu.in</w:t>
            </w:r>
          </w:p>
        </w:tc>
        <w:tc>
          <w:tcPr>
            <w:tcW w:type="dxa" w:w="2606"/>
            <w:tcBorders>
              <w:top w:val="none"/>
              <w:left w:val="none"/>
              <w:bottom w:val="none"/>
              <w:right w:val="none"/>
            </w:tcBorders>
          </w:tcPr>
          <w:p>
            <w:pPr>
              <w:spacing w:before="0" w:after="280" w:line="252" w:lineRule="auto"/>
              <w:jc w:val="center"/>
            </w:pPr>
            <w:r>
              <w:rPr>
                <w:rFonts w:ascii="Times New Roman" w:hAnsi="Times New Roman"/>
                <w:b/>
                <w:sz w:val="20"/>
              </w:rPr>
              <w:t>Prof. Nayana Mahajan</w:t>
              <w:br/>
            </w:r>
            <w:r>
              <w:rPr>
                <w:rFonts w:ascii="Times New Roman" w:hAnsi="Times New Roman"/>
                <w:sz w:val="17"/>
              </w:rPr>
              <w:t>Dept. of Electronics and</w:t>
              <w:br/>
              <w:t>Computer Science</w:t>
              <w:br/>
              <w:t>Vidyalankar Institute of</w:t>
              <w:br/>
              <w:t>Technology</w:t>
              <w:br/>
              <w:t>Mumbai, India</w:t>
              <w:br/>
              <w:t>nayana.mahajan@vit.edu.in</w:t>
            </w:r>
          </w:p>
        </w:tc>
      </w:tr>
    </w:tbl>
    <w:p>
      <w:pPr>
        <w:sectPr>
          <w:pgSz w:w="12240" w:h="15840"/>
          <w:pgMar w:top="1080" w:right="907" w:bottom="1440" w:left="907" w:header="720" w:footer="720" w:gutter="0"/>
          <w:cols w:space="720"/>
          <w:docGrid w:linePitch="360"/>
        </w:sectPr>
      </w:pPr>
    </w:p>
    <w:p>
      <w:pPr>
        <w:spacing w:before="0" w:after="80"/>
        <w:jc w:val="both"/>
      </w:pPr>
      <w:r>
        <w:rPr>
          <w:rFonts w:ascii="Times New Roman" w:hAnsi="Times New Roman"/>
          <w:b/>
          <w:i/>
          <w:sz w:val="18"/>
        </w:rPr>
        <w:t>Abstract---</w:t>
      </w:r>
      <w:r>
        <w:rPr>
          <w:rFonts w:ascii="Times New Roman" w:hAnsi="Times New Roman"/>
          <w:b/>
          <w:sz w:val="18"/>
        </w:rPr>
        <w:t>The explosive expansion of e-commerce retail platforms has transformed user-generated online customer feedback into a primary driver of consumer purchasing decisions. Consequently, fraudulent merchant syndicates systematically fabricate deceptive opinion spam to artificially distort search rankings, inflate conversion rates, or maliciously defame competing market offerings. Modern synthetic reviews generated by Large Language Models (LLMs) display flawless syntactic fluency, natural sentence cohesion, and calibrated sentiment, rendering traditional bag-of-words classifiers and human discernment ineffective. Furthermore, conventional server-tethered deep learning models introduce severe network latency and expose sensitive user browsing telemetry. In this paper, we propose, formulate, and deploy an end-to-end framework combining a fine-tuned Robustly Optimized BERT Approach (RoBERTa-Base) transformer model with a lightweight, client-side Google Chrome Manifest V3 browser extension ('Review Scanner - RoBERTa Edition'). The deep learning core leverages byte-level Byte-Pair Encoding (BPE) subword tokenization across a 50,265 vocabulary, dual input embeddings, and 12 bidirectional self-attention encoder blocks (144 attention heads, 125M parameters) to model subtle narrative and semantic markers. Evaluated on the 40,432-review Kaggle/Salminen benchmark, fine-tuned RoBERTa achieves a peak Test Accuracy of 96.20% and a Macro F1-score of 96.20%. Deployed within consumer browsers, our extension connects to a local inference bridge (127.0.0.1:5000) to parse live product pages (e.g., Amazon, Flipkart) via dynamic DOM MutationObservers, presenting real-time in-situ pill badges and an explainable Neumorphic dashboard with sub-25 ms response times.</w:t>
      </w:r>
    </w:p>
    <w:p>
      <w:pPr>
        <w:spacing w:before="0" w:after="160"/>
        <w:jc w:val="both"/>
      </w:pPr>
      <w:r>
        <w:rPr>
          <w:rFonts w:ascii="Times New Roman" w:hAnsi="Times New Roman"/>
          <w:b/>
          <w:i/>
          <w:sz w:val="18"/>
        </w:rPr>
        <w:t>Keywords---</w:t>
      </w:r>
      <w:r>
        <w:rPr>
          <w:rFonts w:ascii="Times New Roman" w:hAnsi="Times New Roman"/>
          <w:sz w:val="18"/>
        </w:rPr>
        <w:t>RoBERTa, Natural Language Processing, Deceptive Opinion Spam, Transformers, Chrome Extension, Manifest V3, Browser Security, Explainable AI, In-Situ Badging.</w:t>
      </w:r>
    </w:p>
    <w:p>
      <w:pPr>
        <w:keepNext/>
        <w:spacing w:before="240" w:after="80"/>
        <w:jc w:val="center"/>
      </w:pPr>
      <w:r>
        <w:rPr>
          <w:rFonts w:ascii="Times New Roman" w:hAnsi="Times New Roman"/>
          <w:b/>
          <w:sz w:val="20"/>
        </w:rPr>
        <w:t>I. INTRODUCTION</w:t>
      </w:r>
    </w:p>
    <w:p>
      <w:pPr>
        <w:spacing w:before="0" w:after="70" w:line="240" w:lineRule="auto"/>
        <w:jc w:val="both"/>
      </w:pPr>
      <w:r>
        <w:rPr>
          <w:rFonts w:ascii="Times New Roman" w:hAnsi="Times New Roman"/>
          <w:sz w:val="20"/>
        </w:rPr>
        <w:t>Modern digital retail ecosystems (such as Amazon, Flipkart, Walmart, and Yelp) have transformed user-generated customer reviews into the primary currency of consumer trust. Empirical consumer surveys reveal that over 93% of prospective shoppers consult online feedback prior to finalizing purchases, with average star ratings and review volume directly dictating algorithmic search placement and merchant revenue [1]. Unfortunately, this immense commercial influence has catalyzed a prolific illicit industry dedicated to deceptive opinion spam---the intentional fabrication of fraudulent product testimonials designed to promote inferior items or conduct coordinated defamation campaigns against competitors [2].</w:t>
      </w:r>
    </w:p>
    <w:p>
      <w:pPr>
        <w:spacing w:before="0" w:after="70" w:line="240" w:lineRule="auto"/>
        <w:jc w:val="both"/>
      </w:pPr>
      <w:r>
        <w:rPr>
          <w:rFonts w:ascii="Times New Roman" w:hAnsi="Times New Roman"/>
          <w:sz w:val="20"/>
        </w:rPr>
        <w:t>Historically, fraudulent customer reviews were manually authored by crowdsourced workers or low-cost click farms. These early deceptive texts frequently exhibited identifiable stylometric flaws, such as crude lexical repetition, excessive punctuation, intense subjective polarization, and disjointed narrative progression. Consequently, traditional spam filters relied on handcrafted feature engineering, including Term Frequency-Inverse Document Frequency (TF-IDF) unigrams, Part-of-Speech (POS) distribution ratios, and readability scores (e.g., Flesch-Kincaid) coupled with shallow statistical classifiers like Multinomial Naive Bayes (MNB) or Linear Support Vector Machines (SVM) [3]. However, the advent of generative language modeling (e.g., GPT-2, GPT-3, and domain-tuned generators) has fundamentally disrupted this landscape. Modern synthetic reviews possess high syntactic fluency, varied vocabularies, and naturalistic clause structures, rendering shallow lexical extractors and bag-of-words assumptions obsolete. Psychological studies confirm that human judges achieve barely 57.3% accuracy when distinguishing modern machine-generated reviews from genuine feedback---only marginally better than random chance [2].</w:t>
      </w:r>
    </w:p>
    <w:p>
      <w:pPr>
        <w:spacing w:before="0" w:after="70" w:line="240" w:lineRule="auto"/>
        <w:jc w:val="both"/>
      </w:pPr>
      <w:r>
        <w:rPr>
          <w:rFonts w:ascii="Times New Roman" w:hAnsi="Times New Roman"/>
          <w:sz w:val="20"/>
        </w:rPr>
        <w:t>To address this critical threat in real-world retail browsing, two interconnected requirements must be met: first, a high-capacity deep representation learning backbone capable of modeling subtle semantic dissonance; second, a zero-friction, privacy-preserving consumer deployment interface capable of executing in-situ on active e-commerce product pages. To this end, this paper presents an integrated solution: a fine-tuned Robustly Optimized BERT Approach (RoBERTa-Base) contextual transformer [4] paired with an on-device, Manifest V3 Google Chrome extension ('Review Scanner - RoBERTa Edition'). By eliminating Next Sentence Prediction, dynamically masking tokens across training epochs, and pre-training on 160 GB of diverse text, RoBERTa captures complex affective patterns that evade classical models. Concurrently, the extension architecture bridges local inference to the user's browser, providing immediate visual decision support without cloud latency or telemetry leakage.</w:t>
      </w:r>
    </w:p>
    <w:p>
      <w:pPr>
        <w:spacing w:before="0" w:after="70" w:line="240" w:lineRule="auto"/>
        <w:jc w:val="both"/>
      </w:pPr>
      <w:r>
        <w:rPr>
          <w:rFonts w:ascii="Times New Roman" w:hAnsi="Times New Roman"/>
          <w:sz w:val="20"/>
        </w:rPr>
        <w:t>The primary contributions of this paper are summarized as follows:</w:t>
        <w:br/>
        <w:t>1) We formulate an end-to-end sequence classification framework utilizing fine-tuned RoBERTa-Base tailored specifically for distinguishing genuine organic reviews (OR) from computer-generated deceptive reviews (CG).</w:t>
        <w:br/>
        <w:t>2) We provide a complete mathematical exposition of the underlying architecture, encompassing byte-level BPE tokenization, dual embedding summation, scaled dot-product multi-head attention, Gaussian Error Linear Units (GELU), and regularized binary cross-entropy optimization.</w:t>
        <w:br/>
        <w:t>3) We execute extensive empirical evaluations on the 40,432-review Kaggle/Salminen benchmark, establishing that RoBERTa-Base achieves a peak Test Accuracy of 96.20% and a Macro F1 of 96.20% on held-out evaluation.</w:t>
        <w:br/>
        <w:t>4) We showcase real-time deep learning inference telemetry and gradient attribution explainability, demonstrating how token embeddings backpropagate influence scores to verify model interpretability.</w:t>
        <w:br/>
        <w:t>5) We design and validate a production-ready Google Chrome Manifest V3 browser extension with dynamic DOM MutationObservers, an asynchronous local inference bridge (127.0.0.1:5000), a soft Neumorphic dashboard, and live in-situ pill badging on live shopping pages.</w:t>
      </w:r>
    </w:p>
    <w:p>
      <w:pPr>
        <w:keepNext/>
        <w:spacing w:before="240" w:after="80"/>
        <w:jc w:val="center"/>
      </w:pPr>
      <w:r>
        <w:rPr>
          <w:rFonts w:ascii="Times New Roman" w:hAnsi="Times New Roman"/>
          <w:b/>
          <w:sz w:val="20"/>
        </w:rPr>
        <w:t>II. RELATED WORK &amp; BASELINE ARCHITECTURES</w:t>
      </w:r>
    </w:p>
    <w:p>
      <w:pPr>
        <w:spacing w:before="0" w:after="70" w:line="240" w:lineRule="auto"/>
        <w:jc w:val="both"/>
      </w:pPr>
      <w:r>
        <w:rPr>
          <w:rFonts w:ascii="Times New Roman" w:hAnsi="Times New Roman"/>
          <w:sz w:val="20"/>
        </w:rPr>
        <w:t>The formal computational analysis of deceptive opinion spam was pioneered by Jindal and Liu [1], who categorized commercial review fraud into three structural classes: (i) untruthful opinions deliberately distorting product quality, (ii) brand-level spam targeting product manufacturers rather than items, and (iii) non-reviews containing unrelated advertisements or gibberish. Ott et al. [2] developed the foundational gold-standard Deceptive Opinion Spam corpus, combining truthful reviews from TripAdvisor with crowdsourced fake reviews generated via Amazon Mechanical Turk. Their psycholinguistic investigations revealed that genuine customer evaluations are heavily grounded in concrete spatial terms, specific sensory descriptions, and realistic situational context. Conversely, deceptive testimonials exhibit elevated frequencies of first-person singular pronouns (e.g., 'I', 'my husband', 'we'), superlative adjectives ('superb', 'flawless'), and generalized imaginative narratives.</w:t>
      </w:r>
    </w:p>
    <w:p>
      <w:pPr>
        <w:keepNext/>
        <w:spacing w:before="160" w:after="40"/>
        <w:jc w:val="left"/>
      </w:pPr>
      <w:r>
        <w:rPr>
          <w:rFonts w:ascii="Times New Roman" w:hAnsi="Times New Roman"/>
          <w:i/>
          <w:sz w:val="20"/>
        </w:rPr>
        <w:t>A. Standard Classical and Recurrent Baselines</w:t>
      </w:r>
    </w:p>
    <w:p>
      <w:pPr>
        <w:spacing w:before="0" w:after="70" w:line="240" w:lineRule="auto"/>
        <w:jc w:val="both"/>
      </w:pPr>
      <w:r>
        <w:rPr>
          <w:rFonts w:ascii="Times New Roman" w:hAnsi="Times New Roman"/>
          <w:sz w:val="20"/>
        </w:rPr>
        <w:t>To rigorously contextualize RoBERTa's performance within established literature, we benchmark against five foundational machine learning and deep learning architectures:</w:t>
        <w:br/>
        <w:t>1) Multinomial Naive Bayes (MNB): Evaluates conditional independence among bag-of-words tokens via Bayes' rule. While computationally efficient, MNB completely disregards word order, syntax, and discourse context.</w:t>
        <w:br/>
        <w:t>2) Linear Support Vector Machine (Linear SVM): Identifies maximum-margin separating hyperplanes across high-dimensional sparse TF-IDF unigram and bigram feature vectors.</w:t>
        <w:br/>
        <w:t>3) Logistic Regression (L2): Estimates class posterior probabilities via regularized logistic sigmoid transformations over normalized n-gram frequencies.</w:t>
        <w:br/>
        <w:t>4) Bidirectional Long Short-Term Memory (BiLSTM): Employs forward and backward recurrent hidden layers with input, forget, and output gating mechanisms over 300-dimensional GloVe pre-trained word embeddings [5].</w:t>
        <w:br/>
        <w:t>5) Bidirectional Encoder Representations from Transformers (BERT-Base): Google's foundational 110-million parameter encoder utilizing static masked language modeling and WordPiece tokenization [6].</w:t>
      </w:r>
    </w:p>
    <w:p>
      <w:pPr>
        <w:keepNext/>
        <w:spacing w:before="240" w:after="80"/>
        <w:jc w:val="center"/>
      </w:pPr>
      <w:r>
        <w:rPr>
          <w:rFonts w:ascii="Times New Roman" w:hAnsi="Times New Roman"/>
          <w:b/>
          <w:sz w:val="20"/>
        </w:rPr>
        <w:t>III. PROPOSED ROBERTA TRANSFORMER ARCHITECTURE</w:t>
      </w:r>
    </w:p>
    <w:p>
      <w:pPr>
        <w:spacing w:before="0" w:after="70" w:line="240" w:lineRule="auto"/>
        <w:jc w:val="both"/>
      </w:pPr>
      <w:r>
        <w:rPr>
          <w:rFonts w:ascii="Times New Roman" w:hAnsi="Times New Roman"/>
          <w:sz w:val="20"/>
        </w:rPr>
        <w:t>The proposed deep learning system is organized into four sequential functional modules: (1) Byte-Pair Encoding Subword Tokenizer, (2) Dual Representation Embedding Layer, (3) Stacked 12-Layer Bidirectional Multi-Head Self-Attention Encoders, and (4) Non-Linear Sequence Classification Head. Fig. 1 illustrates the end-to-end computational pipeline.</w:t>
      </w:r>
    </w:p>
    <w:p>
      <w:pPr>
        <w:spacing w:before="80" w:after="40"/>
        <w:jc w:val="center"/>
      </w:pPr>
      <w:r>
        <w:drawing>
          <wp:inline xmlns:a="http://schemas.openxmlformats.org/drawingml/2006/main" xmlns:pic="http://schemas.openxmlformats.org/drawingml/2006/picture">
            <wp:extent cx="3063240" cy="1454265"/>
            <wp:docPr id="1" name="Picture 1"/>
            <wp:cNvGraphicFramePr>
              <a:graphicFrameLocks noChangeAspect="1"/>
            </wp:cNvGraphicFramePr>
            <a:graphic>
              <a:graphicData uri="http://schemas.openxmlformats.org/drawingml/2006/picture">
                <pic:pic>
                  <pic:nvPicPr>
                    <pic:cNvPr id="0" name="fig_roberta_architecture.png"/>
                    <pic:cNvPicPr/>
                  </pic:nvPicPr>
                  <pic:blipFill>
                    <a:blip r:embed="rId9"/>
                    <a:stretch>
                      <a:fillRect/>
                    </a:stretch>
                  </pic:blipFill>
                  <pic:spPr>
                    <a:xfrm>
                      <a:off x="0" y="0"/>
                      <a:ext cx="3063240" cy="1454265"/>
                    </a:xfrm>
                    <a:prstGeom prst="rect"/>
                  </pic:spPr>
                </pic:pic>
              </a:graphicData>
            </a:graphic>
          </wp:inline>
        </w:drawing>
      </w:r>
    </w:p>
    <w:p>
      <w:pPr>
        <w:keepNext/>
        <w:spacing w:before="60" w:after="120"/>
        <w:jc w:val="center"/>
      </w:pPr>
      <w:r>
        <w:rPr>
          <w:rFonts w:ascii="Times New Roman" w:hAnsi="Times New Roman"/>
          <w:sz w:val="16"/>
        </w:rPr>
        <w:t>Fig. 1. End-to-end RoBERTa-Base contextual transformer architecture for deceptive review classification.</w:t>
      </w:r>
    </w:p>
    <w:p>
      <w:pPr>
        <w:keepNext/>
        <w:spacing w:before="160" w:after="40"/>
        <w:jc w:val="left"/>
      </w:pPr>
      <w:r>
        <w:rPr>
          <w:rFonts w:ascii="Times New Roman" w:hAnsi="Times New Roman"/>
          <w:i/>
          <w:sz w:val="20"/>
        </w:rPr>
        <w:t>A. Byte-Pair Encoding Subword Tokenization</w:t>
      </w:r>
    </w:p>
    <w:p>
      <w:pPr>
        <w:spacing w:before="0" w:after="70" w:line="240" w:lineRule="auto"/>
        <w:jc w:val="both"/>
      </w:pPr>
      <w:r>
        <w:rPr>
          <w:rFonts w:ascii="Times New Roman" w:hAnsi="Times New Roman"/>
          <w:sz w:val="20"/>
        </w:rPr>
        <w:t>Traditional WordPiece tokenizers encounter severe Out-Of-Vocabulary (OOV) degradation when exposed to misspelled brand names, consumer slang, and informal punctuation. RoBERTa mitigates this limitation by implementing a byte-level Byte-Pair Encoding (BPE) subword algorithm with an expanded vocabulary size V = 50,265 tokens. BPE operates over raw byte units rather than Unicode characters, allowing any arbitrary input string to be tokenized without requiring unknown token substitutions. Every input review sequence S is pre-pended with the sentence start delimiter &lt;s&gt; and appended with the sentence boundary &lt;/s&gt;.</w:t>
      </w:r>
    </w:p>
    <w:p>
      <w:pPr>
        <w:keepNext/>
        <w:spacing w:before="160" w:after="40"/>
        <w:jc w:val="left"/>
      </w:pPr>
      <w:r>
        <w:rPr>
          <w:rFonts w:ascii="Times New Roman" w:hAnsi="Times New Roman"/>
          <w:i/>
          <w:sz w:val="20"/>
        </w:rPr>
        <w:t>B. Dual Input Embedding Representation</w:t>
      </w:r>
    </w:p>
    <w:p>
      <w:pPr>
        <w:spacing w:before="0" w:after="70" w:line="240" w:lineRule="auto"/>
        <w:jc w:val="both"/>
      </w:pPr>
      <w:r>
        <w:rPr>
          <w:rFonts w:ascii="Times New Roman" w:hAnsi="Times New Roman"/>
          <w:sz w:val="20"/>
        </w:rPr>
        <w:t>For an input subword sequence S = (s_1, s_2, ..., s_L) of length L &lt;= 128, the input representation E_i for token s_i at sequence position i is formed by the element-wise addition of its learned token embedding and learned absolute position embedding across hidden dimension d_model = 768:</w:t>
      </w:r>
    </w:p>
    <w:p>
      <w:pPr>
        <w:spacing w:before="80" w:after="80" w:line="240" w:lineRule="auto"/>
        <w:tabs>
          <w:tab w:val="center" w:pos="2450"/>
          <w:tab w:val="right" w:pos="4900"/>
        </w:tabs>
      </w:pPr>
      <w:r>
        <w:tab/>
      </w:r>
      <m:oMath>
        <m:sSub>
          <m:e>
            <m:r>
              <m:t>E</m:t>
            </m:r>
          </m:e>
          <m:sub>
            <m:r>
              <m:t>i</m:t>
            </m:r>
          </m:sub>
        </m:sSub>
        <m:r>
          <m:t> = TokenEmbed(</m:t>
        </m:r>
        <m:sSub>
          <m:e>
            <m:r>
              <m:t>s</m:t>
            </m:r>
          </m:e>
          <m:sub>
            <m:r>
              <m:t>i</m:t>
            </m:r>
          </m:sub>
        </m:sSub>
        <m:r>
          <m:t>) + PosEmbed(i)</m:t>
        </m:r>
      </m:oMath>
      <w:r>
        <w:rPr>
          <w:rFonts w:ascii="Times New Roman" w:hAnsi="Times New Roman"/>
          <w:sz w:val="18"/>
        </w:rPr>
        <w:tab/>
        <w:t>(1)</w:t>
      </w:r>
    </w:p>
    <w:p>
      <w:pPr>
        <w:keepNext/>
        <w:spacing w:before="160" w:after="40"/>
        <w:jc w:val="left"/>
      </w:pPr>
      <w:r>
        <w:rPr>
          <w:rFonts w:ascii="Times New Roman" w:hAnsi="Times New Roman"/>
          <w:i/>
          <w:sz w:val="20"/>
        </w:rPr>
        <w:t>C. Scaled Dot-Product Multi-Head Self-Attention</w:t>
      </w:r>
    </w:p>
    <w:p>
      <w:pPr>
        <w:spacing w:before="0" w:after="70" w:line="240" w:lineRule="auto"/>
        <w:jc w:val="both"/>
      </w:pPr>
      <w:r>
        <w:rPr>
          <w:rFonts w:ascii="Times New Roman" w:hAnsi="Times New Roman"/>
          <w:sz w:val="20"/>
        </w:rPr>
        <w:t>The foundational representation mechanism comprises 12 stacked transformer encoder blocks. Within each layer l in [1, 12], the incoming sequence hidden state matrix H^(l-1) in R^(L x d_model) is projected into Query (Q), Key (K), and Value (V) parameter spaces using learned weight matrices W_Q, W_K, W_V in R^(d_model x d_k), where d_k = d_model / h = 64 across h = 12 attention heads:</w:t>
      </w:r>
    </w:p>
    <w:p>
      <w:pPr>
        <w:spacing w:before="80" w:after="80" w:line="240" w:lineRule="auto"/>
        <w:tabs>
          <w:tab w:val="center" w:pos="2450"/>
          <w:tab w:val="right" w:pos="4900"/>
        </w:tabs>
      </w:pPr>
      <w:r>
        <w:tab/>
      </w:r>
      <m:oMath>
        <m:r>
          <m:t>Q = </m:t>
        </m:r>
        <m:sSup>
          <m:e>
            <m:r>
              <m:t>H</m:t>
            </m:r>
          </m:e>
          <m:sup>
            <m:r>
              <m:t>(l-1)</m:t>
            </m:r>
          </m:sup>
        </m:sSup>
        <m:sSub>
          <m:e>
            <m:r>
              <m:t>W</m:t>
            </m:r>
          </m:e>
          <m:sub>
            <m:r>
              <m:t>Q</m:t>
            </m:r>
          </m:sub>
        </m:sSub>
        <m:r>
          <m:t>,  K = </m:t>
        </m:r>
        <m:sSup>
          <m:e>
            <m:r>
              <m:t>H</m:t>
            </m:r>
          </m:e>
          <m:sup>
            <m:r>
              <m:t>(l-1)</m:t>
            </m:r>
          </m:sup>
        </m:sSup>
        <m:sSub>
          <m:e>
            <m:r>
              <m:t>W</m:t>
            </m:r>
          </m:e>
          <m:sub>
            <m:r>
              <m:t>K</m:t>
            </m:r>
          </m:sub>
        </m:sSub>
        <m:r>
          <m:t>,  V = </m:t>
        </m:r>
        <m:sSup>
          <m:e>
            <m:r>
              <m:t>H</m:t>
            </m:r>
          </m:e>
          <m:sup>
            <m:r>
              <m:t>(l-1)</m:t>
            </m:r>
          </m:sup>
        </m:sSup>
        <m:sSub>
          <m:e>
            <m:r>
              <m:t>W</m:t>
            </m:r>
          </m:e>
          <m:sub>
            <m:r>
              <m:t>V</m:t>
            </m:r>
          </m:sub>
        </m:sSub>
      </m:oMath>
      <w:r>
        <w:rPr>
          <w:rFonts w:ascii="Times New Roman" w:hAnsi="Times New Roman"/>
          <w:sz w:val="18"/>
        </w:rPr>
        <w:tab/>
        <w:t>(2)</w:t>
      </w:r>
    </w:p>
    <w:p>
      <w:pPr>
        <w:spacing w:before="0" w:after="70" w:line="240" w:lineRule="auto"/>
        <w:jc w:val="both"/>
      </w:pPr>
      <w:r>
        <w:rPr>
          <w:rFonts w:ascii="Times New Roman" w:hAnsi="Times New Roman"/>
          <w:sz w:val="20"/>
        </w:rPr>
        <w:t>Scaled dot-product attention computes all-to-all token compatibility scores normalized by the square root of projection dimension d_k:</w:t>
      </w:r>
    </w:p>
    <w:p>
      <w:pPr>
        <w:spacing w:before="80" w:after="80" w:line="240" w:lineRule="auto"/>
        <w:tabs>
          <w:tab w:val="center" w:pos="2450"/>
          <w:tab w:val="right" w:pos="4900"/>
        </w:tabs>
      </w:pPr>
      <w:r>
        <w:tab/>
      </w:r>
      <m:oMath>
        <m:r>
          <m:t>Attention(Q, K, V) = softmax</m:t>
        </m:r>
        <m:d>
          <m:dPr>
            <m:begChr m:val="("/>
            <m:endChr m:val=")"/>
          </m:dPr>
          <m:e>
            <m:f>
              <m:num>
                <m:r>
                  <m:t>Q </m:t>
                </m:r>
                <m:sSup>
                  <m:e>
                    <m:r>
                      <m:t>K</m:t>
                    </m:r>
                  </m:e>
                  <m:sup>
                    <m:r>
                      <m:t>T</m:t>
                    </m:r>
                  </m:sup>
                </m:sSup>
              </m:num>
              <m:den>
                <m:rad>
                  <m:radPr>
                    <m:degHide m:val="on"/>
                  </m:radPr>
                  <m:deg/>
                  <m:e>
                    <m:sSub>
                      <m:e>
                        <m:r>
                          <m:t>d</m:t>
                        </m:r>
                      </m:e>
                      <m:sub>
                        <m:r>
                          <m:t>k</m:t>
                        </m:r>
                      </m:sub>
                    </m:sSub>
                  </m:e>
                </m:rad>
              </m:den>
            </m:f>
          </m:e>
        </m:d>
        <m:r>
          <m:t> V</m:t>
        </m:r>
      </m:oMath>
      <w:r>
        <w:rPr>
          <w:rFonts w:ascii="Times New Roman" w:hAnsi="Times New Roman"/>
          <w:sz w:val="18"/>
        </w:rPr>
        <w:tab/>
        <w:t>(3)</w:t>
      </w:r>
    </w:p>
    <w:p>
      <w:pPr>
        <w:spacing w:before="0" w:after="70" w:line="240" w:lineRule="auto"/>
        <w:jc w:val="both"/>
      </w:pPr>
      <w:r>
        <w:rPr>
          <w:rFonts w:ascii="Times New Roman" w:hAnsi="Times New Roman"/>
          <w:sz w:val="20"/>
        </w:rPr>
        <w:t>Multi-head attention computes 12 parallel self-attention operations, concatenates their outputs, and applies an output linear projection W^O in R^(d_model x d_model):</w:t>
      </w:r>
    </w:p>
    <w:p>
      <w:pPr>
        <w:spacing w:before="80" w:after="80" w:line="240" w:lineRule="auto"/>
        <w:tabs>
          <w:tab w:val="center" w:pos="2450"/>
          <w:tab w:val="right" w:pos="4900"/>
        </w:tabs>
      </w:pPr>
      <w:r>
        <w:tab/>
      </w:r>
      <m:oMath>
        <m:r>
          <m:t>MultiHead(H) = Concat(</m:t>
        </m:r>
        <m:sSub>
          <m:e>
            <m:r>
              <m:t>head</m:t>
            </m:r>
          </m:e>
          <m:sub>
            <m:r>
              <m:t>1</m:t>
            </m:r>
          </m:sub>
        </m:sSub>
        <m:r>
          <m:t>, ..., </m:t>
        </m:r>
        <m:sSub>
          <m:e>
            <m:r>
              <m:t>head</m:t>
            </m:r>
          </m:e>
          <m:sub>
            <m:r>
              <m:t>12</m:t>
            </m:r>
          </m:sub>
        </m:sSub>
        <m:r>
          <m:t>) </m:t>
        </m:r>
        <m:sSup>
          <m:e>
            <m:r>
              <m:t>W</m:t>
            </m:r>
          </m:e>
          <m:sup>
            <m:r>
              <m:t>O</m:t>
            </m:r>
          </m:sup>
        </m:sSup>
      </m:oMath>
      <w:r>
        <w:rPr>
          <w:rFonts w:ascii="Times New Roman" w:hAnsi="Times New Roman"/>
          <w:sz w:val="18"/>
        </w:rPr>
        <w:tab/>
        <w:t>(4)</w:t>
      </w:r>
    </w:p>
    <w:p>
      <w:pPr>
        <w:spacing w:before="80" w:after="80" w:line="240" w:lineRule="auto"/>
        <w:tabs>
          <w:tab w:val="center" w:pos="2450"/>
          <w:tab w:val="right" w:pos="4900"/>
        </w:tabs>
      </w:pPr>
      <w:r>
        <w:tab/>
      </w:r>
      <m:oMath>
        <m:sSub>
          <m:e>
            <m:r>
              <m:t>head</m:t>
            </m:r>
          </m:e>
          <m:sub>
            <m:r>
              <m:t>j</m:t>
            </m:r>
          </m:sub>
        </m:sSub>
        <m:r>
          <m:t> = Attention(H </m:t>
        </m:r>
        <m:sSubSup>
          <m:e>
            <m:r>
              <m:t>W</m:t>
            </m:r>
          </m:e>
          <m:sub>
            <m:r>
              <m:t>j</m:t>
            </m:r>
          </m:sub>
          <m:sup>
            <m:r>
              <m:t>Q</m:t>
            </m:r>
          </m:sup>
        </m:sSubSup>
        <m:r>
          <m:t>, H </m:t>
        </m:r>
        <m:sSubSup>
          <m:e>
            <m:r>
              <m:t>W</m:t>
            </m:r>
          </m:e>
          <m:sub>
            <m:r>
              <m:t>j</m:t>
            </m:r>
          </m:sub>
          <m:sup>
            <m:r>
              <m:t>K</m:t>
            </m:r>
          </m:sup>
        </m:sSubSup>
        <m:r>
          <m:t>, H </m:t>
        </m:r>
        <m:sSubSup>
          <m:e>
            <m:r>
              <m:t>W</m:t>
            </m:r>
          </m:e>
          <m:sub>
            <m:r>
              <m:t>j</m:t>
            </m:r>
          </m:sub>
          <m:sup>
            <m:r>
              <m:t>V</m:t>
            </m:r>
          </m:sup>
        </m:sSubSup>
        <m:r>
          <m:t>)</m:t>
        </m:r>
      </m:oMath>
      <w:r>
        <w:rPr>
          <w:rFonts w:ascii="Times New Roman" w:hAnsi="Times New Roman"/>
          <w:sz w:val="18"/>
        </w:rPr>
        <w:tab/>
        <w:t>(5)</w:t>
      </w:r>
    </w:p>
    <w:p>
      <w:pPr>
        <w:keepNext/>
        <w:spacing w:before="160" w:after="40"/>
        <w:jc w:val="left"/>
      </w:pPr>
      <w:r>
        <w:rPr>
          <w:rFonts w:ascii="Times New Roman" w:hAnsi="Times New Roman"/>
          <w:i/>
          <w:sz w:val="20"/>
        </w:rPr>
        <w:t>D. Feed-Forward Sublayer, GELU, and Normalization</w:t>
      </w:r>
    </w:p>
    <w:p>
      <w:pPr>
        <w:spacing w:before="0" w:after="70" w:line="240" w:lineRule="auto"/>
        <w:jc w:val="both"/>
      </w:pPr>
      <w:r>
        <w:rPr>
          <w:rFonts w:ascii="Times New Roman" w:hAnsi="Times New Roman"/>
          <w:sz w:val="20"/>
        </w:rPr>
        <w:t>Each multi-head attention block is followed by a fully connected position-wise Feed-Forward Network (FFN). The FFN applies two affine transformations with an inner expansion dimension d_ff = 3,072 and Gaussian Error Linear Unit (GELU) non-linear activation:</w:t>
      </w:r>
    </w:p>
    <w:p>
      <w:pPr>
        <w:spacing w:before="80" w:after="80" w:line="240" w:lineRule="auto"/>
        <w:tabs>
          <w:tab w:val="center" w:pos="2450"/>
          <w:tab w:val="right" w:pos="4900"/>
        </w:tabs>
      </w:pPr>
      <w:r>
        <w:tab/>
      </w:r>
      <m:oMath>
        <m:r>
          <m:t>FFN(x) = GELU(x </m:t>
        </m:r>
        <m:sSub>
          <m:e>
            <m:r>
              <m:t>W</m:t>
            </m:r>
          </m:e>
          <m:sub>
            <m:r>
              <m:t>1</m:t>
            </m:r>
          </m:sub>
        </m:sSub>
        <m:r>
          <m:t> + </m:t>
        </m:r>
        <m:sSub>
          <m:e>
            <m:r>
              <m:t>b</m:t>
            </m:r>
          </m:e>
          <m:sub>
            <m:r>
              <m:t>1</m:t>
            </m:r>
          </m:sub>
        </m:sSub>
        <m:r>
          <m:t>) </m:t>
        </m:r>
        <m:sSub>
          <m:e>
            <m:r>
              <m:t>W</m:t>
            </m:r>
          </m:e>
          <m:sub>
            <m:r>
              <m:t>2</m:t>
            </m:r>
          </m:sub>
        </m:sSub>
        <m:r>
          <m:t> + </m:t>
        </m:r>
        <m:sSub>
          <m:e>
            <m:r>
              <m:t>b</m:t>
            </m:r>
          </m:e>
          <m:sub>
            <m:r>
              <m:t>2</m:t>
            </m:r>
          </m:sub>
        </m:sSub>
      </m:oMath>
      <w:r>
        <w:rPr>
          <w:rFonts w:ascii="Times New Roman" w:hAnsi="Times New Roman"/>
          <w:sz w:val="18"/>
        </w:rPr>
        <w:tab/>
        <w:t>(6)</w:t>
      </w:r>
    </w:p>
    <w:p>
      <w:pPr>
        <w:spacing w:before="0" w:after="70" w:line="240" w:lineRule="auto"/>
        <w:jc w:val="both"/>
      </w:pPr>
      <w:r>
        <w:rPr>
          <w:rFonts w:ascii="Times New Roman" w:hAnsi="Times New Roman"/>
          <w:sz w:val="20"/>
        </w:rPr>
        <w:t>The GELU activation weights inputs by their standard normal cumulative distribution function Phi(x), analytically approximated as:</w:t>
      </w:r>
    </w:p>
    <w:p>
      <w:pPr>
        <w:spacing w:before="80" w:after="80" w:line="240" w:lineRule="auto"/>
        <w:tabs>
          <w:tab w:val="center" w:pos="2450"/>
          <w:tab w:val="right" w:pos="4900"/>
        </w:tabs>
      </w:pPr>
      <w:r>
        <w:tab/>
      </w:r>
      <m:oMath>
        <m:r>
          <m:t>GELU(x) ≈ 0.5 x </m:t>
        </m:r>
        <m:d>
          <m:dPr>
            <m:begChr m:val="["/>
            <m:endChr m:val="]"/>
          </m:dPr>
          <m:e>
            <m:r>
              <m:t>1 + tanh(</m:t>
            </m:r>
            <m:rad>
              <m:radPr>
                <m:degHide m:val="on"/>
              </m:radPr>
              <m:deg/>
              <m:e>
                <m:r>
                  <m:t>2/π</m:t>
                </m:r>
              </m:e>
            </m:rad>
            <m:r>
              <m:t> (x + 0.044715 </m:t>
            </m:r>
            <m:sSup>
              <m:e>
                <m:r>
                  <m:t>x</m:t>
                </m:r>
              </m:e>
              <m:sup>
                <m:r>
                  <m:t>3</m:t>
                </m:r>
              </m:sup>
            </m:sSup>
            <m:r>
              <m:t>))</m:t>
            </m:r>
          </m:e>
        </m:d>
      </m:oMath>
      <w:r>
        <w:rPr>
          <w:rFonts w:ascii="Times New Roman" w:hAnsi="Times New Roman"/>
          <w:sz w:val="18"/>
        </w:rPr>
        <w:tab/>
        <w:t>(7)</w:t>
      </w:r>
    </w:p>
    <w:p>
      <w:pPr>
        <w:spacing w:before="0" w:after="70" w:line="240" w:lineRule="auto"/>
        <w:jc w:val="both"/>
      </w:pPr>
      <w:r>
        <w:rPr>
          <w:rFonts w:ascii="Times New Roman" w:hAnsi="Times New Roman"/>
          <w:sz w:val="20"/>
        </w:rPr>
        <w:t>Both sublayers employ residual connections followed by Layer Normalization (LayerNorm) to stabilize deep gradient propagation:</w:t>
      </w:r>
    </w:p>
    <w:p>
      <w:pPr>
        <w:spacing w:before="80" w:after="80" w:line="240" w:lineRule="auto"/>
        <w:tabs>
          <w:tab w:val="center" w:pos="2450"/>
          <w:tab w:val="right" w:pos="4900"/>
        </w:tabs>
      </w:pPr>
      <w:r>
        <w:tab/>
      </w:r>
      <m:oMath>
        <m:sSup>
          <m:e>
            <m:r>
              <m:t>H</m:t>
            </m:r>
          </m:e>
          <m:sup>
            <m:r>
              <m:t>(l)</m:t>
            </m:r>
          </m:sup>
        </m:sSup>
        <m:r>
          <m:t> = LayerNorm(</m:t>
        </m:r>
        <m:sSup>
          <m:e>
            <m:r>
              <m:t>H′</m:t>
            </m:r>
          </m:e>
          <m:sup>
            <m:r>
              <m:t>(l)</m:t>
            </m:r>
          </m:sup>
        </m:sSup>
        <m:r>
          <m:t> + FFN(</m:t>
        </m:r>
        <m:sSup>
          <m:e>
            <m:r>
              <m:t>H′</m:t>
            </m:r>
          </m:e>
          <m:sup>
            <m:r>
              <m:t>(l)</m:t>
            </m:r>
          </m:sup>
        </m:sSup>
        <m:r>
          <m:t>))</m:t>
        </m:r>
      </m:oMath>
      <w:r>
        <w:rPr>
          <w:rFonts w:ascii="Times New Roman" w:hAnsi="Times New Roman"/>
          <w:sz w:val="18"/>
        </w:rPr>
        <w:tab/>
        <w:t>(8)</w:t>
      </w:r>
    </w:p>
    <w:p>
      <w:pPr>
        <w:keepNext/>
        <w:spacing w:before="160" w:after="40"/>
        <w:jc w:val="left"/>
      </w:pPr>
      <w:r>
        <w:rPr>
          <w:rFonts w:ascii="Times New Roman" w:hAnsi="Times New Roman"/>
          <w:i/>
          <w:sz w:val="20"/>
        </w:rPr>
        <w:t>E. Sequence Classification Head &amp; Objective Function</w:t>
      </w:r>
    </w:p>
    <w:p>
      <w:pPr>
        <w:spacing w:before="0" w:after="70" w:line="240" w:lineRule="auto"/>
        <w:jc w:val="both"/>
      </w:pPr>
      <w:r>
        <w:rPr>
          <w:rFonts w:ascii="Times New Roman" w:hAnsi="Times New Roman"/>
          <w:sz w:val="20"/>
        </w:rPr>
        <w:t>For binary review classification (0 = Real / OR, 1 = Fake / CG), the final hidden state of the first sequence delimiter token &lt;s&gt;, denoted h_&lt;s&gt; in R^768, is extracted as the aggregate sequence representation. It is projected through a tanh-activated pooling layer and an affine classification head:</w:t>
      </w:r>
    </w:p>
    <w:p>
      <w:pPr>
        <w:spacing w:before="80" w:after="80" w:line="240" w:lineRule="auto"/>
        <w:tabs>
          <w:tab w:val="center" w:pos="2450"/>
          <w:tab w:val="right" w:pos="4900"/>
        </w:tabs>
      </w:pPr>
      <w:r>
        <w:tab/>
      </w:r>
      <m:oMath>
        <m:sSub>
          <m:e>
            <m:r>
              <m:t>h</m:t>
            </m:r>
          </m:e>
          <m:sub>
            <m:r>
              <m:t>pooled</m:t>
            </m:r>
          </m:sub>
        </m:sSub>
        <m:r>
          <m:t> = tanh(</m:t>
        </m:r>
        <m:sSub>
          <m:e>
            <m:r>
              <m:t>W</m:t>
            </m:r>
          </m:e>
          <m:sub>
            <m:r>
              <m:t>pool</m:t>
            </m:r>
          </m:sub>
        </m:sSub>
        <m:sSub>
          <m:e>
            <m:r>
              <m:t>h</m:t>
            </m:r>
          </m:e>
          <m:sub>
            <m:r>
              <m:t>&lt;s&gt;</m:t>
            </m:r>
          </m:sub>
        </m:sSub>
        <m:r>
          <m:t> + </m:t>
        </m:r>
        <m:sSub>
          <m:e>
            <m:r>
              <m:t>b</m:t>
            </m:r>
          </m:e>
          <m:sub>
            <m:r>
              <m:t>pool</m:t>
            </m:r>
          </m:sub>
        </m:sSub>
        <m:r>
          <m:t>)</m:t>
        </m:r>
      </m:oMath>
      <w:r>
        <w:rPr>
          <w:rFonts w:ascii="Times New Roman" w:hAnsi="Times New Roman"/>
          <w:sz w:val="18"/>
        </w:rPr>
        <w:tab/>
        <w:t>(9)</w:t>
      </w:r>
    </w:p>
    <w:p>
      <w:pPr>
        <w:spacing w:before="80" w:after="80" w:line="240" w:lineRule="auto"/>
        <w:tabs>
          <w:tab w:val="center" w:pos="2450"/>
          <w:tab w:val="right" w:pos="4900"/>
        </w:tabs>
      </w:pPr>
      <w:r>
        <w:tab/>
      </w:r>
      <m:oMath>
        <m:r>
          <m:t>P(y = 1 | S) = σ(</m:t>
        </m:r>
        <m:sSup>
          <m:e>
            <m:sSub>
              <m:e>
                <m:r>
                  <m:t>w</m:t>
                </m:r>
              </m:e>
              <m:sub>
                <m:r>
                  <m:t>clf</m:t>
                </m:r>
              </m:sub>
            </m:sSub>
          </m:e>
          <m:sup>
            <m:r>
              <m:t>T</m:t>
            </m:r>
          </m:sup>
        </m:sSup>
        <m:sSub>
          <m:e>
            <m:r>
              <m:t>h</m:t>
            </m:r>
          </m:e>
          <m:sub>
            <m:r>
              <m:t>pooled</m:t>
            </m:r>
          </m:sub>
        </m:sSub>
        <m:r>
          <m:t> + </m:t>
        </m:r>
        <m:sSub>
          <m:e>
            <m:r>
              <m:t>b</m:t>
            </m:r>
          </m:e>
          <m:sub>
            <m:r>
              <m:t>clf</m:t>
            </m:r>
          </m:sub>
        </m:sSub>
        <m:r>
          <m:t>)</m:t>
        </m:r>
      </m:oMath>
      <w:r>
        <w:rPr>
          <w:rFonts w:ascii="Times New Roman" w:hAnsi="Times New Roman"/>
          <w:sz w:val="18"/>
        </w:rPr>
        <w:tab/>
        <w:t>(10)</w:t>
      </w:r>
    </w:p>
    <w:p>
      <w:pPr>
        <w:spacing w:before="0" w:after="70" w:line="240" w:lineRule="auto"/>
        <w:jc w:val="both"/>
      </w:pPr>
      <w:r>
        <w:rPr>
          <w:rFonts w:ascii="Times New Roman" w:hAnsi="Times New Roman"/>
          <w:sz w:val="20"/>
        </w:rPr>
        <w:t>The complete network is fine-tuned end-to-end by minimizing Binary Cross-Entropy loss with decoupled weight decay regularization (AdamW) over N training instances:</w:t>
      </w:r>
    </w:p>
    <w:p>
      <w:pPr>
        <w:spacing w:before="80" w:after="80" w:line="240" w:lineRule="auto"/>
        <w:tabs>
          <w:tab w:val="center" w:pos="2450"/>
          <w:tab w:val="right" w:pos="4900"/>
        </w:tabs>
      </w:pPr>
      <w:r>
        <w:tab/>
      </w:r>
      <m:oMath>
        <m:sSub>
          <m:e>
            <m:r>
              <m:t>ℒ</m:t>
            </m:r>
          </m:e>
          <m:sub>
            <m:r>
              <m:t>BCE</m:t>
            </m:r>
          </m:sub>
        </m:sSub>
        <m:r>
          <m:t> = -</m:t>
        </m:r>
        <m:f>
          <m:num>
            <m:r>
              <m:t>1</m:t>
            </m:r>
          </m:num>
          <m:den>
            <m:r>
              <m:t>N</m:t>
            </m:r>
          </m:den>
        </m:f>
        <m:nary>
          <m:naryPr>
            <m:chr m:val="∑"/>
            <m:limLoc m:val="subSup"/>
          </m:naryPr>
          <m:sub>
            <m:r>
              <m:t>i=1</m:t>
            </m:r>
          </m:sub>
          <m:sup>
            <m:r>
              <m:t>N</m:t>
            </m:r>
          </m:sup>
          <m:e>
            <m:r>
              <m:t> ℓ(</m:t>
            </m:r>
            <m:sSub>
              <m:e>
                <m:r>
                  <m:t>y</m:t>
                </m:r>
              </m:e>
              <m:sub>
                <m:r>
                  <m:t>i</m:t>
                </m:r>
              </m:sub>
            </m:sSub>
            <m:r>
              <m:t>, </m:t>
            </m:r>
            <m:sSub>
              <m:e>
                <m:r>
                  <m:t>ŷ</m:t>
                </m:r>
              </m:e>
              <m:sub>
                <m:r>
                  <m:t>i</m:t>
                </m:r>
              </m:sub>
            </m:sSub>
            <m:r>
              <m:t>) + </m:t>
            </m:r>
            <m:f>
              <m:num>
                <m:r>
                  <m:t>λ</m:t>
                </m:r>
              </m:num>
              <m:den>
                <m:r>
                  <m:t>2</m:t>
                </m:r>
              </m:den>
            </m:f>
            <m:sSubSup>
              <m:e>
                <m:r>
                  <m:t> ‖Θ‖</m:t>
                </m:r>
              </m:e>
              <m:sub>
                <m:r>
                  <m:t>2</m:t>
                </m:r>
              </m:sub>
              <m:sup>
                <m:r>
                  <m:t>2</m:t>
                </m:r>
              </m:sup>
            </m:sSubSup>
          </m:e>
        </m:nary>
      </m:oMath>
      <w:r>
        <w:rPr>
          <w:rFonts w:ascii="Times New Roman" w:hAnsi="Times New Roman"/>
          <w:sz w:val="18"/>
        </w:rPr>
        <w:tab/>
        <w:t>(11)</w:t>
      </w:r>
    </w:p>
    <w:p>
      <w:pPr>
        <w:spacing w:before="0" w:after="70" w:line="240" w:lineRule="auto"/>
        <w:jc w:val="both"/>
      </w:pPr>
      <w:r>
        <w:rPr>
          <w:rFonts w:ascii="Times New Roman" w:hAnsi="Times New Roman"/>
          <w:sz w:val="20"/>
        </w:rPr>
        <w:t>where ℓ(y_i, ŷ_i) = y_i log ŷ_i + (1 - y_i) log(1 - ŷ_i) represents the per-instance cross-entropy error, and λ denotes the weight decay coefficient.</w:t>
      </w:r>
    </w:p>
    <w:p>
      <w:pPr>
        <w:keepNext/>
        <w:spacing w:before="240" w:after="80"/>
        <w:jc w:val="center"/>
      </w:pPr>
      <w:r>
        <w:rPr>
          <w:rFonts w:ascii="Times New Roman" w:hAnsi="Times New Roman"/>
          <w:b/>
          <w:sz w:val="20"/>
        </w:rPr>
        <w:t>IV. EXPERIMENTAL SETUP &amp; METHODOLOGY</w:t>
      </w:r>
    </w:p>
    <w:p>
      <w:pPr>
        <w:spacing w:before="0" w:after="70" w:line="240" w:lineRule="auto"/>
        <w:jc w:val="both"/>
      </w:pPr>
      <w:r>
        <w:rPr>
          <w:rFonts w:ascii="Times New Roman" w:hAnsi="Times New Roman"/>
          <w:sz w:val="20"/>
        </w:rPr>
        <w:t>The empirical investigation is conducted on the benchmark Deceptive Opinion Spam dataset compiled by Salminen et al. [7], comprising 40,432 customer product reviews across multiple retail domains. From this master corpus, we curate an unbiased, class-balanced experimental subset of N = 10,000 reviews, containing exactly 5,000 Genuine Organic reviews (OR, label 0) and 5,000 Computer-Generated Fake reviews (CG, label 1). Table II summarizes the structural and linguistic properties of the experimental dataset.</w:t>
      </w:r>
    </w:p>
    <w:p>
      <w:pPr>
        <w:keepNext/>
        <w:spacing w:before="160" w:after="60"/>
        <w:jc w:val="center"/>
      </w:pPr>
      <w:r>
        <w:rPr>
          <w:rFonts w:ascii="Times New Roman" w:hAnsi="Times New Roman"/>
          <w:b/>
          <w:sz w:val="17"/>
        </w:rPr>
        <w:t>TABLE II</w:t>
        <w:br/>
        <w:t>BENCHMARK DATASET CHARACTERISTICS &amp; CORPUS METRICS</w:t>
      </w:r>
    </w:p>
    <w:tbl>
      <w:tblPr>
        <w:tblW w:type="dxa" w:w="4896"/>
        <w:jc w:val="center"/>
        <w:tblLayout w:type="fixed"/>
        <w:tblLook w:firstColumn="1" w:firstRow="1" w:lastColumn="0" w:lastRow="0" w:noHBand="0" w:noVBand="1" w:val="04A0"/>
        <w:tblBorders>
          <w:top w:val="single" w:sz="8" w:space="0" w:color="1E293B"/>
          <w:bottom w:val="single" w:sz="8" w:space="0" w:color="1E293B"/>
          <w:insideH w:val="single" w:sz="4" w:space="0" w:color="D1D5DB"/>
          <w:left w:val="none"/>
          <w:right w:val="none"/>
          <w:insideV w:val="none"/>
        </w:tblBorders>
      </w:tblPr>
      <w:tblGrid>
        <w:gridCol w:w="2606"/>
        <w:gridCol w:w="2606"/>
        <w:gridCol w:w="2606"/>
        <w:gridCol w:w="2606"/>
      </w:tblGrid>
      <w:tr>
        <w:trPr>
          <w:tblHeader/>
          <w:cantSplit/>
        </w:trPr>
        <w:tc>
          <w:tcPr>
            <w:tcW w:type="dxa" w:w="1786"/>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Corpus Property</w:t>
            </w:r>
          </w:p>
        </w:tc>
        <w:tc>
          <w:tcPr>
            <w:tcW w:type="dxa" w:w="1037"/>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Genuine</w:t>
            </w:r>
          </w:p>
        </w:tc>
        <w:tc>
          <w:tcPr>
            <w:tcW w:type="dxa" w:w="1037"/>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Synthetic</w:t>
            </w:r>
          </w:p>
        </w:tc>
        <w:tc>
          <w:tcPr>
            <w:tcW w:type="dxa" w:w="1037"/>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Combined</w:t>
            </w:r>
          </w:p>
        </w:tc>
      </w:tr>
      <w:tr>
        <w:trPr>
          <w:cantSplit/>
        </w:trPr>
        <w:tc>
          <w:tcPr>
            <w:tcW w:type="dxa" w:w="1786"/>
            <w:tcMar>
              <w:top w:w="40" w:type="dxa"/>
              <w:bottom w:w="40" w:type="dxa"/>
              <w:left w:w="50" w:type="dxa"/>
              <w:right w:w="50" w:type="dxa"/>
            </w:tcMar>
            <w:shd w:val="clear" w:color="auto" w:fill="FFFFFF"/>
          </w:tcPr>
          <w:p>
            <w:pPr>
              <w:spacing w:before="50" w:after="50"/>
              <w:jc w:val="left"/>
            </w:pPr>
            <w:r>
              <w:rPr>
                <w:rFonts w:ascii="Times New Roman" w:hAnsi="Times New Roman"/>
                <w:sz w:val="16"/>
              </w:rPr>
              <w:t>Sample Count (N)</w:t>
            </w:r>
          </w:p>
        </w:tc>
        <w:tc>
          <w:tcPr>
            <w:tcW w:type="dxa" w:w="1037"/>
            <w:tcMar>
              <w:top w:w="40" w:type="dxa"/>
              <w:bottom w:w="40" w:type="dxa"/>
              <w:left w:w="50" w:type="dxa"/>
              <w:right w:w="50" w:type="dxa"/>
            </w:tcMar>
            <w:shd w:val="clear" w:color="auto" w:fill="FFFFFF"/>
          </w:tcPr>
          <w:p>
            <w:pPr>
              <w:spacing w:before="50" w:after="50"/>
              <w:jc w:val="center"/>
            </w:pPr>
            <w:r>
              <w:rPr>
                <w:rFonts w:ascii="Times New Roman" w:hAnsi="Times New Roman"/>
                <w:sz w:val="16"/>
              </w:rPr>
              <w:t>5,000</w:t>
            </w:r>
          </w:p>
        </w:tc>
        <w:tc>
          <w:tcPr>
            <w:tcW w:type="dxa" w:w="1037"/>
            <w:tcMar>
              <w:top w:w="40" w:type="dxa"/>
              <w:bottom w:w="40" w:type="dxa"/>
              <w:left w:w="50" w:type="dxa"/>
              <w:right w:w="50" w:type="dxa"/>
            </w:tcMar>
            <w:shd w:val="clear" w:color="auto" w:fill="FFFFFF"/>
          </w:tcPr>
          <w:p>
            <w:pPr>
              <w:spacing w:before="50" w:after="50"/>
              <w:jc w:val="center"/>
            </w:pPr>
            <w:r>
              <w:rPr>
                <w:rFonts w:ascii="Times New Roman" w:hAnsi="Times New Roman"/>
                <w:sz w:val="16"/>
              </w:rPr>
              <w:t>5,000</w:t>
            </w:r>
          </w:p>
        </w:tc>
        <w:tc>
          <w:tcPr>
            <w:tcW w:type="dxa" w:w="1037"/>
            <w:tcMar>
              <w:top w:w="40" w:type="dxa"/>
              <w:bottom w:w="40" w:type="dxa"/>
              <w:left w:w="50" w:type="dxa"/>
              <w:right w:w="50" w:type="dxa"/>
            </w:tcMar>
            <w:shd w:val="clear" w:color="auto" w:fill="FFFFFF"/>
          </w:tcPr>
          <w:p>
            <w:pPr>
              <w:spacing w:before="50" w:after="50"/>
              <w:jc w:val="center"/>
            </w:pPr>
            <w:r>
              <w:rPr>
                <w:rFonts w:ascii="Times New Roman" w:hAnsi="Times New Roman"/>
                <w:sz w:val="16"/>
              </w:rPr>
              <w:t>10,000</w:t>
            </w:r>
          </w:p>
        </w:tc>
      </w:tr>
      <w:tr>
        <w:trPr>
          <w:cantSplit/>
        </w:trPr>
        <w:tc>
          <w:tcPr>
            <w:tcW w:type="dxa" w:w="1786"/>
            <w:tcMar>
              <w:top w:w="40" w:type="dxa"/>
              <w:bottom w:w="40" w:type="dxa"/>
              <w:left w:w="50" w:type="dxa"/>
              <w:right w:w="50" w:type="dxa"/>
            </w:tcMar>
            <w:shd w:val="clear" w:color="auto" w:fill="F8FAFC"/>
          </w:tcPr>
          <w:p>
            <w:pPr>
              <w:spacing w:before="50" w:after="50"/>
              <w:jc w:val="left"/>
            </w:pPr>
            <w:r>
              <w:rPr>
                <w:rFonts w:ascii="Times New Roman" w:hAnsi="Times New Roman"/>
                <w:sz w:val="16"/>
              </w:rPr>
              <w:t>Mean Word Count</w:t>
            </w:r>
          </w:p>
        </w:tc>
        <w:tc>
          <w:tcPr>
            <w:tcW w:type="dxa" w:w="1037"/>
            <w:tcMar>
              <w:top w:w="40" w:type="dxa"/>
              <w:bottom w:w="40" w:type="dxa"/>
              <w:left w:w="50" w:type="dxa"/>
              <w:right w:w="50" w:type="dxa"/>
            </w:tcMar>
            <w:shd w:val="clear" w:color="auto" w:fill="F8FAFC"/>
          </w:tcPr>
          <w:p>
            <w:pPr>
              <w:spacing w:before="50" w:after="50"/>
              <w:jc w:val="center"/>
            </w:pPr>
            <w:r>
              <w:rPr>
                <w:rFonts w:ascii="Times New Roman" w:hAnsi="Times New Roman"/>
                <w:sz w:val="16"/>
              </w:rPr>
              <w:t>64.82</w:t>
            </w:r>
          </w:p>
        </w:tc>
        <w:tc>
          <w:tcPr>
            <w:tcW w:type="dxa" w:w="1037"/>
            <w:tcMar>
              <w:top w:w="40" w:type="dxa"/>
              <w:bottom w:w="40" w:type="dxa"/>
              <w:left w:w="50" w:type="dxa"/>
              <w:right w:w="50" w:type="dxa"/>
            </w:tcMar>
            <w:shd w:val="clear" w:color="auto" w:fill="F8FAFC"/>
          </w:tcPr>
          <w:p>
            <w:pPr>
              <w:spacing w:before="50" w:after="50"/>
              <w:jc w:val="center"/>
            </w:pPr>
            <w:r>
              <w:rPr>
                <w:rFonts w:ascii="Times New Roman" w:hAnsi="Times New Roman"/>
                <w:sz w:val="16"/>
              </w:rPr>
              <w:t>58.14</w:t>
            </w:r>
          </w:p>
        </w:tc>
        <w:tc>
          <w:tcPr>
            <w:tcW w:type="dxa" w:w="1037"/>
            <w:tcMar>
              <w:top w:w="40" w:type="dxa"/>
              <w:bottom w:w="40" w:type="dxa"/>
              <w:left w:w="50" w:type="dxa"/>
              <w:right w:w="50" w:type="dxa"/>
            </w:tcMar>
            <w:shd w:val="clear" w:color="auto" w:fill="F8FAFC"/>
          </w:tcPr>
          <w:p>
            <w:pPr>
              <w:spacing w:before="50" w:after="50"/>
              <w:jc w:val="center"/>
            </w:pPr>
            <w:r>
              <w:rPr>
                <w:rFonts w:ascii="Times New Roman" w:hAnsi="Times New Roman"/>
                <w:sz w:val="16"/>
              </w:rPr>
              <w:t>61.48</w:t>
            </w:r>
          </w:p>
        </w:tc>
      </w:tr>
      <w:tr>
        <w:trPr>
          <w:cantSplit/>
        </w:trPr>
        <w:tc>
          <w:tcPr>
            <w:tcW w:type="dxa" w:w="1786"/>
            <w:tcMar>
              <w:top w:w="40" w:type="dxa"/>
              <w:bottom w:w="40" w:type="dxa"/>
              <w:left w:w="50" w:type="dxa"/>
              <w:right w:w="50" w:type="dxa"/>
            </w:tcMar>
            <w:shd w:val="clear" w:color="auto" w:fill="FFFFFF"/>
          </w:tcPr>
          <w:p>
            <w:pPr>
              <w:spacing w:before="50" w:after="50"/>
              <w:jc w:val="left"/>
            </w:pPr>
            <w:r>
              <w:rPr>
                <w:rFonts w:ascii="Times New Roman" w:hAnsi="Times New Roman"/>
                <w:sz w:val="16"/>
              </w:rPr>
              <w:t>Type-Token Ratio</w:t>
            </w:r>
          </w:p>
        </w:tc>
        <w:tc>
          <w:tcPr>
            <w:tcW w:type="dxa" w:w="1037"/>
            <w:tcMar>
              <w:top w:w="40" w:type="dxa"/>
              <w:bottom w:w="40" w:type="dxa"/>
              <w:left w:w="50" w:type="dxa"/>
              <w:right w:w="50" w:type="dxa"/>
            </w:tcMar>
            <w:shd w:val="clear" w:color="auto" w:fill="FFFFFF"/>
          </w:tcPr>
          <w:p>
            <w:pPr>
              <w:spacing w:before="50" w:after="50"/>
              <w:jc w:val="center"/>
            </w:pPr>
            <w:r>
              <w:rPr>
                <w:rFonts w:ascii="Times New Roman" w:hAnsi="Times New Roman"/>
                <w:sz w:val="16"/>
              </w:rPr>
              <w:t>0.184</w:t>
            </w:r>
          </w:p>
        </w:tc>
        <w:tc>
          <w:tcPr>
            <w:tcW w:type="dxa" w:w="1037"/>
            <w:tcMar>
              <w:top w:w="40" w:type="dxa"/>
              <w:bottom w:w="40" w:type="dxa"/>
              <w:left w:w="50" w:type="dxa"/>
              <w:right w:w="50" w:type="dxa"/>
            </w:tcMar>
            <w:shd w:val="clear" w:color="auto" w:fill="FFFFFF"/>
          </w:tcPr>
          <w:p>
            <w:pPr>
              <w:spacing w:before="50" w:after="50"/>
              <w:jc w:val="center"/>
            </w:pPr>
            <w:r>
              <w:rPr>
                <w:rFonts w:ascii="Times New Roman" w:hAnsi="Times New Roman"/>
                <w:sz w:val="16"/>
              </w:rPr>
              <w:t>0.219</w:t>
            </w:r>
          </w:p>
        </w:tc>
        <w:tc>
          <w:tcPr>
            <w:tcW w:type="dxa" w:w="1037"/>
            <w:tcMar>
              <w:top w:w="40" w:type="dxa"/>
              <w:bottom w:w="40" w:type="dxa"/>
              <w:left w:w="50" w:type="dxa"/>
              <w:right w:w="50" w:type="dxa"/>
            </w:tcMar>
            <w:shd w:val="clear" w:color="auto" w:fill="FFFFFF"/>
          </w:tcPr>
          <w:p>
            <w:pPr>
              <w:spacing w:before="50" w:after="50"/>
              <w:jc w:val="center"/>
            </w:pPr>
            <w:r>
              <w:rPr>
                <w:rFonts w:ascii="Times New Roman" w:hAnsi="Times New Roman"/>
                <w:sz w:val="16"/>
              </w:rPr>
              <w:t>0.201</w:t>
            </w:r>
          </w:p>
        </w:tc>
      </w:tr>
      <w:tr>
        <w:trPr>
          <w:cantSplit/>
        </w:trPr>
        <w:tc>
          <w:tcPr>
            <w:tcW w:type="dxa" w:w="1786"/>
            <w:tcMar>
              <w:top w:w="40" w:type="dxa"/>
              <w:bottom w:w="40" w:type="dxa"/>
              <w:left w:w="50" w:type="dxa"/>
              <w:right w:w="50" w:type="dxa"/>
            </w:tcMar>
            <w:shd w:val="clear" w:color="auto" w:fill="F8FAFC"/>
          </w:tcPr>
          <w:p>
            <w:pPr>
              <w:spacing w:before="50" w:after="50"/>
              <w:jc w:val="left"/>
            </w:pPr>
            <w:r>
              <w:rPr>
                <w:rFonts w:ascii="Times New Roman" w:hAnsi="Times New Roman"/>
                <w:sz w:val="16"/>
              </w:rPr>
              <w:t>Reading Grade (FK)</w:t>
            </w:r>
          </w:p>
        </w:tc>
        <w:tc>
          <w:tcPr>
            <w:tcW w:type="dxa" w:w="1037"/>
            <w:tcMar>
              <w:top w:w="40" w:type="dxa"/>
              <w:bottom w:w="40" w:type="dxa"/>
              <w:left w:w="50" w:type="dxa"/>
              <w:right w:w="50" w:type="dxa"/>
            </w:tcMar>
            <w:shd w:val="clear" w:color="auto" w:fill="F8FAFC"/>
          </w:tcPr>
          <w:p>
            <w:pPr>
              <w:spacing w:before="50" w:after="50"/>
              <w:jc w:val="center"/>
            </w:pPr>
            <w:r>
              <w:rPr>
                <w:rFonts w:ascii="Times New Roman" w:hAnsi="Times New Roman"/>
                <w:sz w:val="16"/>
              </w:rPr>
              <w:t>7.42</w:t>
            </w:r>
          </w:p>
        </w:tc>
        <w:tc>
          <w:tcPr>
            <w:tcW w:type="dxa" w:w="1037"/>
            <w:tcMar>
              <w:top w:w="40" w:type="dxa"/>
              <w:bottom w:w="40" w:type="dxa"/>
              <w:left w:w="50" w:type="dxa"/>
              <w:right w:w="50" w:type="dxa"/>
            </w:tcMar>
            <w:shd w:val="clear" w:color="auto" w:fill="F8FAFC"/>
          </w:tcPr>
          <w:p>
            <w:pPr>
              <w:spacing w:before="50" w:after="50"/>
              <w:jc w:val="center"/>
            </w:pPr>
            <w:r>
              <w:rPr>
                <w:rFonts w:ascii="Times New Roman" w:hAnsi="Times New Roman"/>
                <w:sz w:val="16"/>
              </w:rPr>
              <w:t>6.85</w:t>
            </w:r>
          </w:p>
        </w:tc>
        <w:tc>
          <w:tcPr>
            <w:tcW w:type="dxa" w:w="1037"/>
            <w:tcMar>
              <w:top w:w="40" w:type="dxa"/>
              <w:bottom w:w="40" w:type="dxa"/>
              <w:left w:w="50" w:type="dxa"/>
              <w:right w:w="50" w:type="dxa"/>
            </w:tcMar>
            <w:shd w:val="clear" w:color="auto" w:fill="F8FAFC"/>
          </w:tcPr>
          <w:p>
            <w:pPr>
              <w:spacing w:before="50" w:after="50"/>
              <w:jc w:val="center"/>
            </w:pPr>
            <w:r>
              <w:rPr>
                <w:rFonts w:ascii="Times New Roman" w:hAnsi="Times New Roman"/>
                <w:sz w:val="16"/>
              </w:rPr>
              <w:t>7.14</w:t>
            </w:r>
          </w:p>
        </w:tc>
      </w:tr>
      <w:tr>
        <w:trPr>
          <w:cantSplit/>
        </w:trPr>
        <w:tc>
          <w:tcPr>
            <w:tcW w:type="dxa" w:w="1786"/>
            <w:tcMar>
              <w:top w:w="40" w:type="dxa"/>
              <w:bottom w:w="40" w:type="dxa"/>
              <w:left w:w="50" w:type="dxa"/>
              <w:right w:w="50" w:type="dxa"/>
            </w:tcMar>
            <w:shd w:val="clear" w:color="auto" w:fill="FFFFFF"/>
          </w:tcPr>
          <w:p>
            <w:pPr>
              <w:spacing w:before="50" w:after="50"/>
              <w:jc w:val="left"/>
            </w:pPr>
            <w:r>
              <w:rPr>
                <w:rFonts w:ascii="Times New Roman" w:hAnsi="Times New Roman"/>
                <w:sz w:val="16"/>
              </w:rPr>
              <w:t>Vocabulary Entropy</w:t>
            </w:r>
          </w:p>
        </w:tc>
        <w:tc>
          <w:tcPr>
            <w:tcW w:type="dxa" w:w="1037"/>
            <w:tcMar>
              <w:top w:w="40" w:type="dxa"/>
              <w:bottom w:w="40" w:type="dxa"/>
              <w:left w:w="50" w:type="dxa"/>
              <w:right w:w="50" w:type="dxa"/>
            </w:tcMar>
            <w:shd w:val="clear" w:color="auto" w:fill="FFFFFF"/>
          </w:tcPr>
          <w:p>
            <w:pPr>
              <w:spacing w:before="50" w:after="50"/>
              <w:jc w:val="center"/>
            </w:pPr>
            <w:r>
              <w:rPr>
                <w:rFonts w:ascii="Times New Roman" w:hAnsi="Times New Roman"/>
                <w:sz w:val="16"/>
              </w:rPr>
              <w:t>9.12 bits</w:t>
            </w:r>
          </w:p>
        </w:tc>
        <w:tc>
          <w:tcPr>
            <w:tcW w:type="dxa" w:w="1037"/>
            <w:tcMar>
              <w:top w:w="40" w:type="dxa"/>
              <w:bottom w:w="40" w:type="dxa"/>
              <w:left w:w="50" w:type="dxa"/>
              <w:right w:w="50" w:type="dxa"/>
            </w:tcMar>
            <w:shd w:val="clear" w:color="auto" w:fill="FFFFFF"/>
          </w:tcPr>
          <w:p>
            <w:pPr>
              <w:spacing w:before="50" w:after="50"/>
              <w:jc w:val="center"/>
            </w:pPr>
            <w:r>
              <w:rPr>
                <w:rFonts w:ascii="Times New Roman" w:hAnsi="Times New Roman"/>
                <w:sz w:val="16"/>
              </w:rPr>
              <w:t>9.48 bits</w:t>
            </w:r>
          </w:p>
        </w:tc>
        <w:tc>
          <w:tcPr>
            <w:tcW w:type="dxa" w:w="1037"/>
            <w:tcMar>
              <w:top w:w="40" w:type="dxa"/>
              <w:bottom w:w="40" w:type="dxa"/>
              <w:left w:w="50" w:type="dxa"/>
              <w:right w:w="50" w:type="dxa"/>
            </w:tcMar>
            <w:shd w:val="clear" w:color="auto" w:fill="FFFFFF"/>
          </w:tcPr>
          <w:p>
            <w:pPr>
              <w:spacing w:before="50" w:after="50"/>
              <w:jc w:val="center"/>
            </w:pPr>
            <w:r>
              <w:rPr>
                <w:rFonts w:ascii="Times New Roman" w:hAnsi="Times New Roman"/>
                <w:sz w:val="16"/>
              </w:rPr>
              <w:t>9.31 bits</w:t>
            </w:r>
          </w:p>
        </w:tc>
      </w:tr>
      <w:tr>
        <w:trPr>
          <w:cantSplit/>
        </w:trPr>
        <w:tc>
          <w:tcPr>
            <w:tcW w:type="dxa" w:w="1786"/>
            <w:tcMar>
              <w:top w:w="40" w:type="dxa"/>
              <w:bottom w:w="40" w:type="dxa"/>
              <w:left w:w="50" w:type="dxa"/>
              <w:right w:w="50" w:type="dxa"/>
            </w:tcMar>
            <w:shd w:val="clear" w:color="auto" w:fill="F8FAFC"/>
          </w:tcPr>
          <w:p>
            <w:pPr>
              <w:spacing w:before="50" w:after="50"/>
              <w:jc w:val="left"/>
            </w:pPr>
            <w:r>
              <w:rPr>
                <w:rFonts w:ascii="Times New Roman" w:hAnsi="Times New Roman"/>
                <w:sz w:val="16"/>
              </w:rPr>
              <w:t>Class Ratio (%)</w:t>
            </w:r>
          </w:p>
        </w:tc>
        <w:tc>
          <w:tcPr>
            <w:tcW w:type="dxa" w:w="1037"/>
            <w:tcMar>
              <w:top w:w="40" w:type="dxa"/>
              <w:bottom w:w="40" w:type="dxa"/>
              <w:left w:w="50" w:type="dxa"/>
              <w:right w:w="50" w:type="dxa"/>
            </w:tcMar>
            <w:shd w:val="clear" w:color="auto" w:fill="F8FAFC"/>
          </w:tcPr>
          <w:p>
            <w:pPr>
              <w:spacing w:before="50" w:after="50"/>
              <w:jc w:val="center"/>
            </w:pPr>
            <w:r>
              <w:rPr>
                <w:rFonts w:ascii="Times New Roman" w:hAnsi="Times New Roman"/>
                <w:sz w:val="16"/>
              </w:rPr>
              <w:t>50.00%</w:t>
            </w:r>
          </w:p>
        </w:tc>
        <w:tc>
          <w:tcPr>
            <w:tcW w:type="dxa" w:w="1037"/>
            <w:tcMar>
              <w:top w:w="40" w:type="dxa"/>
              <w:bottom w:w="40" w:type="dxa"/>
              <w:left w:w="50" w:type="dxa"/>
              <w:right w:w="50" w:type="dxa"/>
            </w:tcMar>
            <w:shd w:val="clear" w:color="auto" w:fill="F8FAFC"/>
          </w:tcPr>
          <w:p>
            <w:pPr>
              <w:spacing w:before="50" w:after="50"/>
              <w:jc w:val="center"/>
            </w:pPr>
            <w:r>
              <w:rPr>
                <w:rFonts w:ascii="Times New Roman" w:hAnsi="Times New Roman"/>
                <w:sz w:val="16"/>
              </w:rPr>
              <w:t>50.00%</w:t>
            </w:r>
          </w:p>
        </w:tc>
        <w:tc>
          <w:tcPr>
            <w:tcW w:type="dxa" w:w="1037"/>
            <w:tcMar>
              <w:top w:w="40" w:type="dxa"/>
              <w:bottom w:w="40" w:type="dxa"/>
              <w:left w:w="50" w:type="dxa"/>
              <w:right w:w="50" w:type="dxa"/>
            </w:tcMar>
            <w:shd w:val="clear" w:color="auto" w:fill="F8FAFC"/>
          </w:tcPr>
          <w:p>
            <w:pPr>
              <w:spacing w:before="50" w:after="50"/>
              <w:jc w:val="center"/>
            </w:pPr>
            <w:r>
              <w:rPr>
                <w:rFonts w:ascii="Times New Roman" w:hAnsi="Times New Roman"/>
                <w:sz w:val="16"/>
              </w:rPr>
              <w:t>100.00%</w:t>
            </w:r>
          </w:p>
        </w:tc>
      </w:tr>
    </w:tbl>
    <w:p>
      <w:pPr>
        <w:spacing w:before="0" w:after="80"/>
      </w:pPr>
    </w:p>
    <w:p>
      <w:pPr>
        <w:spacing w:before="0" w:after="70" w:line="240" w:lineRule="auto"/>
        <w:jc w:val="both"/>
      </w:pPr>
      <w:r>
        <w:rPr>
          <w:rFonts w:ascii="Times New Roman" w:hAnsi="Times New Roman"/>
          <w:sz w:val="20"/>
        </w:rPr>
        <w:t>The corpus was partitioned via stratified random sampling into an 80% training set (8,000 reviews), a 10% validation set (1,000 reviews), and a 10% held-out test set (1,000 reviews). Text preprocessing was restricted to stripping extraneous whitespace and raw URL hyperlinks, preserving sentence casing, punctuation, and emoji sequences to retain valuable affective context for the BPE tokenizer. Fine-tuning was executed on an NVIDIA Tensor Core GPU environment leveraging PyTorch 2.x and HuggingFace Transformers with Automatic Mixed Precision (FP16). Hyperparameters were tuned via grid search on the validation split, as specified in Table III.</w:t>
      </w:r>
    </w:p>
    <w:p>
      <w:pPr>
        <w:keepNext/>
        <w:spacing w:before="160" w:after="60"/>
        <w:jc w:val="center"/>
      </w:pPr>
      <w:r>
        <w:rPr>
          <w:rFonts w:ascii="Times New Roman" w:hAnsi="Times New Roman"/>
          <w:b/>
          <w:sz w:val="17"/>
        </w:rPr>
        <w:t>TABLE III</w:t>
        <w:br/>
        <w:t>FINE-TUNING HYPERPARAMETER SPECIFICATIONS FOR ROBERTA-BASE</w:t>
      </w:r>
    </w:p>
    <w:tbl>
      <w:tblPr>
        <w:tblW w:type="dxa" w:w="4896"/>
        <w:jc w:val="center"/>
        <w:tblLayout w:type="fixed"/>
        <w:tblLook w:firstColumn="1" w:firstRow="1" w:lastColumn="0" w:lastRow="0" w:noHBand="0" w:noVBand="1" w:val="04A0"/>
        <w:tblBorders>
          <w:top w:val="single" w:sz="8" w:space="0" w:color="1E293B"/>
          <w:bottom w:val="single" w:sz="8" w:space="0" w:color="1E293B"/>
          <w:insideH w:val="single" w:sz="4" w:space="0" w:color="D1D5DB"/>
          <w:left w:val="none"/>
          <w:right w:val="none"/>
          <w:insideV w:val="none"/>
        </w:tblBorders>
      </w:tblPr>
      <w:tblGrid>
        <w:gridCol w:w="3475"/>
        <w:gridCol w:w="3475"/>
        <w:gridCol w:w="3475"/>
      </w:tblGrid>
      <w:tr>
        <w:trPr>
          <w:tblHeader/>
          <w:cantSplit/>
        </w:trPr>
        <w:tc>
          <w:tcPr>
            <w:tcW w:type="dxa" w:w="1728"/>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Hyperparameter</w:t>
            </w:r>
          </w:p>
        </w:tc>
        <w:tc>
          <w:tcPr>
            <w:tcW w:type="dxa" w:w="1152"/>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Value</w:t>
            </w:r>
          </w:p>
        </w:tc>
        <w:tc>
          <w:tcPr>
            <w:tcW w:type="dxa" w:w="2016"/>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Operational Scope</w:t>
            </w:r>
          </w:p>
        </w:tc>
      </w:tr>
      <w:tr>
        <w:trPr>
          <w:cantSplit/>
        </w:trPr>
        <w:tc>
          <w:tcPr>
            <w:tcW w:type="dxa" w:w="1728"/>
            <w:tcMar>
              <w:top w:w="40" w:type="dxa"/>
              <w:bottom w:w="40" w:type="dxa"/>
              <w:left w:w="50" w:type="dxa"/>
              <w:right w:w="50" w:type="dxa"/>
            </w:tcMar>
            <w:shd w:val="clear" w:color="auto" w:fill="FFFFFF"/>
          </w:tcPr>
          <w:p>
            <w:pPr>
              <w:spacing w:before="50" w:after="50"/>
              <w:jc w:val="left"/>
            </w:pPr>
            <w:r>
              <w:rPr>
                <w:rFonts w:ascii="Times New Roman" w:hAnsi="Times New Roman"/>
                <w:sz w:val="16"/>
              </w:rPr>
              <w:t>Backbone</w:t>
            </w:r>
          </w:p>
        </w:tc>
        <w:tc>
          <w:tcPr>
            <w:tcW w:type="dxa" w:w="1152"/>
            <w:tcMar>
              <w:top w:w="40" w:type="dxa"/>
              <w:bottom w:w="40" w:type="dxa"/>
              <w:left w:w="50" w:type="dxa"/>
              <w:right w:w="50" w:type="dxa"/>
            </w:tcMar>
            <w:shd w:val="clear" w:color="auto" w:fill="FFFFFF"/>
          </w:tcPr>
          <w:p>
            <w:pPr>
              <w:spacing w:before="50" w:after="50"/>
              <w:jc w:val="center"/>
            </w:pPr>
            <w:r>
              <w:rPr>
                <w:rFonts w:ascii="Times New Roman" w:hAnsi="Times New Roman"/>
                <w:sz w:val="16"/>
              </w:rPr>
              <w:t>roberta-base</w:t>
            </w:r>
          </w:p>
        </w:tc>
        <w:tc>
          <w:tcPr>
            <w:tcW w:type="dxa" w:w="2016"/>
            <w:tcMar>
              <w:top w:w="40" w:type="dxa"/>
              <w:bottom w:w="40" w:type="dxa"/>
              <w:left w:w="50" w:type="dxa"/>
              <w:right w:w="50" w:type="dxa"/>
            </w:tcMar>
            <w:shd w:val="clear" w:color="auto" w:fill="FFFFFF"/>
          </w:tcPr>
          <w:p>
            <w:pPr>
              <w:spacing w:before="50" w:after="50"/>
              <w:jc w:val="center"/>
            </w:pPr>
            <w:r>
              <w:rPr>
                <w:rFonts w:ascii="Times New Roman" w:hAnsi="Times New Roman"/>
                <w:sz w:val="16"/>
              </w:rPr>
              <w:t>12L, 768H, 12A (125M params)</w:t>
            </w:r>
          </w:p>
        </w:tc>
      </w:tr>
      <w:tr>
        <w:trPr>
          <w:cantSplit/>
        </w:trPr>
        <w:tc>
          <w:tcPr>
            <w:tcW w:type="dxa" w:w="1728"/>
            <w:tcMar>
              <w:top w:w="40" w:type="dxa"/>
              <w:bottom w:w="40" w:type="dxa"/>
              <w:left w:w="50" w:type="dxa"/>
              <w:right w:w="50" w:type="dxa"/>
            </w:tcMar>
            <w:shd w:val="clear" w:color="auto" w:fill="F8FAFC"/>
          </w:tcPr>
          <w:p>
            <w:pPr>
              <w:spacing w:before="50" w:after="50"/>
              <w:jc w:val="left"/>
            </w:pPr>
            <w:r>
              <w:rPr>
                <w:rFonts w:ascii="Times New Roman" w:hAnsi="Times New Roman"/>
                <w:sz w:val="16"/>
              </w:rPr>
              <w:t>Optimizer</w:t>
            </w:r>
          </w:p>
        </w:tc>
        <w:tc>
          <w:tcPr>
            <w:tcW w:type="dxa" w:w="1152"/>
            <w:tcMar>
              <w:top w:w="40" w:type="dxa"/>
              <w:bottom w:w="40" w:type="dxa"/>
              <w:left w:w="50" w:type="dxa"/>
              <w:right w:w="50" w:type="dxa"/>
            </w:tcMar>
            <w:shd w:val="clear" w:color="auto" w:fill="F8FAFC"/>
          </w:tcPr>
          <w:p>
            <w:pPr>
              <w:spacing w:before="50" w:after="50"/>
              <w:jc w:val="center"/>
            </w:pPr>
            <w:r>
              <w:rPr>
                <w:rFonts w:ascii="Times New Roman" w:hAnsi="Times New Roman"/>
                <w:sz w:val="16"/>
              </w:rPr>
              <w:t>AdamW</w:t>
            </w:r>
          </w:p>
        </w:tc>
        <w:tc>
          <w:tcPr>
            <w:tcW w:type="dxa" w:w="2016"/>
            <w:tcMar>
              <w:top w:w="40" w:type="dxa"/>
              <w:bottom w:w="40" w:type="dxa"/>
              <w:left w:w="50" w:type="dxa"/>
              <w:right w:w="50" w:type="dxa"/>
            </w:tcMar>
            <w:shd w:val="clear" w:color="auto" w:fill="F8FAFC"/>
          </w:tcPr>
          <w:p>
            <w:pPr>
              <w:spacing w:before="50" w:after="50"/>
              <w:jc w:val="center"/>
            </w:pPr>
            <w:r>
              <w:rPr>
                <w:rFonts w:ascii="Times New Roman" w:hAnsi="Times New Roman"/>
                <w:sz w:val="16"/>
              </w:rPr>
              <w:t>Decoupled weight decay</w:t>
            </w:r>
          </w:p>
        </w:tc>
      </w:tr>
      <w:tr>
        <w:trPr>
          <w:cantSplit/>
        </w:trPr>
        <w:tc>
          <w:tcPr>
            <w:tcW w:type="dxa" w:w="1728"/>
            <w:tcMar>
              <w:top w:w="40" w:type="dxa"/>
              <w:bottom w:w="40" w:type="dxa"/>
              <w:left w:w="50" w:type="dxa"/>
              <w:right w:w="50" w:type="dxa"/>
            </w:tcMar>
            <w:shd w:val="clear" w:color="auto" w:fill="FFFFFF"/>
          </w:tcPr>
          <w:p>
            <w:pPr>
              <w:spacing w:before="50" w:after="50"/>
              <w:jc w:val="left"/>
            </w:pPr>
            <w:r>
              <w:rPr>
                <w:rFonts w:ascii="Times New Roman" w:hAnsi="Times New Roman"/>
                <w:sz w:val="16"/>
              </w:rPr>
              <w:t>Learning Rate (η)</w:t>
            </w:r>
          </w:p>
        </w:tc>
        <w:tc>
          <w:tcPr>
            <w:tcW w:type="dxa" w:w="1152"/>
            <w:tcMar>
              <w:top w:w="40" w:type="dxa"/>
              <w:bottom w:w="40" w:type="dxa"/>
              <w:left w:w="50" w:type="dxa"/>
              <w:right w:w="50" w:type="dxa"/>
            </w:tcMar>
            <w:shd w:val="clear" w:color="auto" w:fill="FFFFFF"/>
          </w:tcPr>
          <w:p>
            <w:pPr>
              <w:spacing w:before="50" w:after="50"/>
              <w:jc w:val="center"/>
            </w:pPr>
            <w:r>
              <w:rPr>
                <w:rFonts w:ascii="Times New Roman" w:hAnsi="Times New Roman"/>
                <w:sz w:val="16"/>
              </w:rPr>
              <w:t>2.0 × 10⁻⁵</w:t>
            </w:r>
          </w:p>
        </w:tc>
        <w:tc>
          <w:tcPr>
            <w:tcW w:type="dxa" w:w="2016"/>
            <w:tcMar>
              <w:top w:w="40" w:type="dxa"/>
              <w:bottom w:w="40" w:type="dxa"/>
              <w:left w:w="50" w:type="dxa"/>
              <w:right w:w="50" w:type="dxa"/>
            </w:tcMar>
            <w:shd w:val="clear" w:color="auto" w:fill="FFFFFF"/>
          </w:tcPr>
          <w:p>
            <w:pPr>
              <w:spacing w:before="50" w:after="50"/>
              <w:jc w:val="center"/>
            </w:pPr>
            <w:r>
              <w:rPr>
                <w:rFonts w:ascii="Times New Roman" w:hAnsi="Times New Roman"/>
                <w:sz w:val="16"/>
              </w:rPr>
              <w:t>Linear decay schedule</w:t>
            </w:r>
          </w:p>
        </w:tc>
      </w:tr>
      <w:tr>
        <w:trPr>
          <w:cantSplit/>
        </w:trPr>
        <w:tc>
          <w:tcPr>
            <w:tcW w:type="dxa" w:w="1728"/>
            <w:tcMar>
              <w:top w:w="40" w:type="dxa"/>
              <w:bottom w:w="40" w:type="dxa"/>
              <w:left w:w="50" w:type="dxa"/>
              <w:right w:w="50" w:type="dxa"/>
            </w:tcMar>
            <w:shd w:val="clear" w:color="auto" w:fill="F8FAFC"/>
          </w:tcPr>
          <w:p>
            <w:pPr>
              <w:spacing w:before="50" w:after="50"/>
              <w:jc w:val="left"/>
            </w:pPr>
            <w:r>
              <w:rPr>
                <w:rFonts w:ascii="Times New Roman" w:hAnsi="Times New Roman"/>
                <w:sz w:val="16"/>
              </w:rPr>
              <w:t>Warmup Ratio</w:t>
            </w:r>
          </w:p>
        </w:tc>
        <w:tc>
          <w:tcPr>
            <w:tcW w:type="dxa" w:w="1152"/>
            <w:tcMar>
              <w:top w:w="40" w:type="dxa"/>
              <w:bottom w:w="40" w:type="dxa"/>
              <w:left w:w="50" w:type="dxa"/>
              <w:right w:w="50" w:type="dxa"/>
            </w:tcMar>
            <w:shd w:val="clear" w:color="auto" w:fill="F8FAFC"/>
          </w:tcPr>
          <w:p>
            <w:pPr>
              <w:spacing w:before="50" w:after="50"/>
              <w:jc w:val="center"/>
            </w:pPr>
            <w:r>
              <w:rPr>
                <w:rFonts w:ascii="Times New Roman" w:hAnsi="Times New Roman"/>
                <w:sz w:val="16"/>
              </w:rPr>
              <w:t>0.10 (10%)</w:t>
            </w:r>
          </w:p>
        </w:tc>
        <w:tc>
          <w:tcPr>
            <w:tcW w:type="dxa" w:w="2016"/>
            <w:tcMar>
              <w:top w:w="40" w:type="dxa"/>
              <w:bottom w:w="40" w:type="dxa"/>
              <w:left w:w="50" w:type="dxa"/>
              <w:right w:w="50" w:type="dxa"/>
            </w:tcMar>
            <w:shd w:val="clear" w:color="auto" w:fill="F8FAFC"/>
          </w:tcPr>
          <w:p>
            <w:pPr>
              <w:spacing w:before="50" w:after="50"/>
              <w:jc w:val="center"/>
            </w:pPr>
            <w:r>
              <w:rPr>
                <w:rFonts w:ascii="Times New Roman" w:hAnsi="Times New Roman"/>
                <w:sz w:val="16"/>
              </w:rPr>
              <w:t>Linear warmup over steps</w:t>
            </w:r>
          </w:p>
        </w:tc>
      </w:tr>
      <w:tr>
        <w:trPr>
          <w:cantSplit/>
        </w:trPr>
        <w:tc>
          <w:tcPr>
            <w:tcW w:type="dxa" w:w="1728"/>
            <w:tcMar>
              <w:top w:w="40" w:type="dxa"/>
              <w:bottom w:w="40" w:type="dxa"/>
              <w:left w:w="50" w:type="dxa"/>
              <w:right w:w="50" w:type="dxa"/>
            </w:tcMar>
            <w:shd w:val="clear" w:color="auto" w:fill="FFFFFF"/>
          </w:tcPr>
          <w:p>
            <w:pPr>
              <w:spacing w:before="50" w:after="50"/>
              <w:jc w:val="left"/>
            </w:pPr>
            <w:r>
              <w:rPr>
                <w:rFonts w:ascii="Times New Roman" w:hAnsi="Times New Roman"/>
                <w:sz w:val="16"/>
              </w:rPr>
              <w:t>Batch Size (B)</w:t>
            </w:r>
          </w:p>
        </w:tc>
        <w:tc>
          <w:tcPr>
            <w:tcW w:type="dxa" w:w="1152"/>
            <w:tcMar>
              <w:top w:w="40" w:type="dxa"/>
              <w:bottom w:w="40" w:type="dxa"/>
              <w:left w:w="50" w:type="dxa"/>
              <w:right w:w="50" w:type="dxa"/>
            </w:tcMar>
            <w:shd w:val="clear" w:color="auto" w:fill="FFFFFF"/>
          </w:tcPr>
          <w:p>
            <w:pPr>
              <w:spacing w:before="50" w:after="50"/>
              <w:jc w:val="center"/>
            </w:pPr>
            <w:r>
              <w:rPr>
                <w:rFonts w:ascii="Times New Roman" w:hAnsi="Times New Roman"/>
                <w:sz w:val="16"/>
              </w:rPr>
              <w:t>16</w:t>
            </w:r>
          </w:p>
        </w:tc>
        <w:tc>
          <w:tcPr>
            <w:tcW w:type="dxa" w:w="2016"/>
            <w:tcMar>
              <w:top w:w="40" w:type="dxa"/>
              <w:bottom w:w="40" w:type="dxa"/>
              <w:left w:w="50" w:type="dxa"/>
              <w:right w:w="50" w:type="dxa"/>
            </w:tcMar>
            <w:shd w:val="clear" w:color="auto" w:fill="FFFFFF"/>
          </w:tcPr>
          <w:p>
            <w:pPr>
              <w:spacing w:before="50" w:after="50"/>
              <w:jc w:val="center"/>
            </w:pPr>
            <w:r>
              <w:rPr>
                <w:rFonts w:ascii="Times New Roman" w:hAnsi="Times New Roman"/>
                <w:sz w:val="16"/>
              </w:rPr>
              <w:t>Gradient accumulation batch</w:t>
            </w:r>
          </w:p>
        </w:tc>
      </w:tr>
      <w:tr>
        <w:trPr>
          <w:cantSplit/>
        </w:trPr>
        <w:tc>
          <w:tcPr>
            <w:tcW w:type="dxa" w:w="1728"/>
            <w:tcMar>
              <w:top w:w="40" w:type="dxa"/>
              <w:bottom w:w="40" w:type="dxa"/>
              <w:left w:w="50" w:type="dxa"/>
              <w:right w:w="50" w:type="dxa"/>
            </w:tcMar>
            <w:shd w:val="clear" w:color="auto" w:fill="F8FAFC"/>
          </w:tcPr>
          <w:p>
            <w:pPr>
              <w:spacing w:before="50" w:after="50"/>
              <w:jc w:val="left"/>
            </w:pPr>
            <w:r>
              <w:rPr>
                <w:rFonts w:ascii="Times New Roman" w:hAnsi="Times New Roman"/>
                <w:sz w:val="16"/>
              </w:rPr>
              <w:t>Weight Decay (λ)</w:t>
            </w:r>
          </w:p>
        </w:tc>
        <w:tc>
          <w:tcPr>
            <w:tcW w:type="dxa" w:w="1152"/>
            <w:tcMar>
              <w:top w:w="40" w:type="dxa"/>
              <w:bottom w:w="40" w:type="dxa"/>
              <w:left w:w="50" w:type="dxa"/>
              <w:right w:w="50" w:type="dxa"/>
            </w:tcMar>
            <w:shd w:val="clear" w:color="auto" w:fill="F8FAFC"/>
          </w:tcPr>
          <w:p>
            <w:pPr>
              <w:spacing w:before="50" w:after="50"/>
              <w:jc w:val="center"/>
            </w:pPr>
            <w:r>
              <w:rPr>
                <w:rFonts w:ascii="Times New Roman" w:hAnsi="Times New Roman"/>
                <w:sz w:val="16"/>
              </w:rPr>
              <w:t>0.01</w:t>
            </w:r>
          </w:p>
        </w:tc>
        <w:tc>
          <w:tcPr>
            <w:tcW w:type="dxa" w:w="2016"/>
            <w:tcMar>
              <w:top w:w="40" w:type="dxa"/>
              <w:bottom w:w="40" w:type="dxa"/>
              <w:left w:w="50" w:type="dxa"/>
              <w:right w:w="50" w:type="dxa"/>
            </w:tcMar>
            <w:shd w:val="clear" w:color="auto" w:fill="F8FAFC"/>
          </w:tcPr>
          <w:p>
            <w:pPr>
              <w:spacing w:before="50" w:after="50"/>
              <w:jc w:val="center"/>
            </w:pPr>
            <w:r>
              <w:rPr>
                <w:rFonts w:ascii="Times New Roman" w:hAnsi="Times New Roman"/>
                <w:sz w:val="16"/>
              </w:rPr>
              <w:t>L2 parameter regularization</w:t>
            </w:r>
          </w:p>
        </w:tc>
      </w:tr>
      <w:tr>
        <w:trPr>
          <w:cantSplit/>
        </w:trPr>
        <w:tc>
          <w:tcPr>
            <w:tcW w:type="dxa" w:w="1728"/>
            <w:tcMar>
              <w:top w:w="40" w:type="dxa"/>
              <w:bottom w:w="40" w:type="dxa"/>
              <w:left w:w="50" w:type="dxa"/>
              <w:right w:w="50" w:type="dxa"/>
            </w:tcMar>
            <w:shd w:val="clear" w:color="auto" w:fill="FFFFFF"/>
          </w:tcPr>
          <w:p>
            <w:pPr>
              <w:spacing w:before="50" w:after="50"/>
              <w:jc w:val="left"/>
            </w:pPr>
            <w:r>
              <w:rPr>
                <w:rFonts w:ascii="Times New Roman" w:hAnsi="Times New Roman"/>
                <w:sz w:val="16"/>
              </w:rPr>
              <w:t>Max Sequence Length</w:t>
            </w:r>
          </w:p>
        </w:tc>
        <w:tc>
          <w:tcPr>
            <w:tcW w:type="dxa" w:w="1152"/>
            <w:tcMar>
              <w:top w:w="40" w:type="dxa"/>
              <w:bottom w:w="40" w:type="dxa"/>
              <w:left w:w="50" w:type="dxa"/>
              <w:right w:w="50" w:type="dxa"/>
            </w:tcMar>
            <w:shd w:val="clear" w:color="auto" w:fill="FFFFFF"/>
          </w:tcPr>
          <w:p>
            <w:pPr>
              <w:spacing w:before="50" w:after="50"/>
              <w:jc w:val="center"/>
            </w:pPr>
            <w:r>
              <w:rPr>
                <w:rFonts w:ascii="Times New Roman" w:hAnsi="Times New Roman"/>
                <w:sz w:val="16"/>
              </w:rPr>
              <w:t>128 tokens</w:t>
            </w:r>
          </w:p>
        </w:tc>
        <w:tc>
          <w:tcPr>
            <w:tcW w:type="dxa" w:w="2016"/>
            <w:tcMar>
              <w:top w:w="40" w:type="dxa"/>
              <w:bottom w:w="40" w:type="dxa"/>
              <w:left w:w="50" w:type="dxa"/>
              <w:right w:w="50" w:type="dxa"/>
            </w:tcMar>
            <w:shd w:val="clear" w:color="auto" w:fill="FFFFFF"/>
          </w:tcPr>
          <w:p>
            <w:pPr>
              <w:spacing w:before="50" w:after="50"/>
              <w:jc w:val="center"/>
            </w:pPr>
            <w:r>
              <w:rPr>
                <w:rFonts w:ascii="Times New Roman" w:hAnsi="Times New Roman"/>
                <w:sz w:val="16"/>
              </w:rPr>
              <w:t>Right truncation with padding</w:t>
            </w:r>
          </w:p>
        </w:tc>
      </w:tr>
      <w:tr>
        <w:trPr>
          <w:cantSplit/>
        </w:trPr>
        <w:tc>
          <w:tcPr>
            <w:tcW w:type="dxa" w:w="1728"/>
            <w:tcMar>
              <w:top w:w="40" w:type="dxa"/>
              <w:bottom w:w="40" w:type="dxa"/>
              <w:left w:w="50" w:type="dxa"/>
              <w:right w:w="50" w:type="dxa"/>
            </w:tcMar>
            <w:shd w:val="clear" w:color="auto" w:fill="F8FAFC"/>
          </w:tcPr>
          <w:p>
            <w:pPr>
              <w:spacing w:before="50" w:after="50"/>
              <w:jc w:val="left"/>
            </w:pPr>
            <w:r>
              <w:rPr>
                <w:rFonts w:ascii="Times New Roman" w:hAnsi="Times New Roman"/>
                <w:sz w:val="16"/>
              </w:rPr>
              <w:t>Training Epochs</w:t>
            </w:r>
          </w:p>
        </w:tc>
        <w:tc>
          <w:tcPr>
            <w:tcW w:type="dxa" w:w="1152"/>
            <w:tcMar>
              <w:top w:w="40" w:type="dxa"/>
              <w:bottom w:w="40" w:type="dxa"/>
              <w:left w:w="50" w:type="dxa"/>
              <w:right w:w="50" w:type="dxa"/>
            </w:tcMar>
            <w:shd w:val="clear" w:color="auto" w:fill="F8FAFC"/>
          </w:tcPr>
          <w:p>
            <w:pPr>
              <w:spacing w:before="50" w:after="50"/>
              <w:jc w:val="center"/>
            </w:pPr>
            <w:r>
              <w:rPr>
                <w:rFonts w:ascii="Times New Roman" w:hAnsi="Times New Roman"/>
                <w:sz w:val="16"/>
              </w:rPr>
              <w:t>3</w:t>
            </w:r>
          </w:p>
        </w:tc>
        <w:tc>
          <w:tcPr>
            <w:tcW w:type="dxa" w:w="2016"/>
            <w:tcMar>
              <w:top w:w="40" w:type="dxa"/>
              <w:bottom w:w="40" w:type="dxa"/>
              <w:left w:w="50" w:type="dxa"/>
              <w:right w:w="50" w:type="dxa"/>
            </w:tcMar>
            <w:shd w:val="clear" w:color="auto" w:fill="F8FAFC"/>
          </w:tcPr>
          <w:p>
            <w:pPr>
              <w:spacing w:before="50" w:after="50"/>
              <w:jc w:val="center"/>
            </w:pPr>
            <w:r>
              <w:rPr>
                <w:rFonts w:ascii="Times New Roman" w:hAnsi="Times New Roman"/>
                <w:sz w:val="16"/>
              </w:rPr>
              <w:t>Early stopping on val F1</w:t>
            </w:r>
          </w:p>
        </w:tc>
      </w:tr>
      <w:tr>
        <w:trPr>
          <w:cantSplit/>
        </w:trPr>
        <w:tc>
          <w:tcPr>
            <w:tcW w:type="dxa" w:w="1728"/>
            <w:tcMar>
              <w:top w:w="40" w:type="dxa"/>
              <w:bottom w:w="40" w:type="dxa"/>
              <w:left w:w="50" w:type="dxa"/>
              <w:right w:w="50" w:type="dxa"/>
            </w:tcMar>
            <w:shd w:val="clear" w:color="auto" w:fill="FFFFFF"/>
          </w:tcPr>
          <w:p>
            <w:pPr>
              <w:spacing w:before="50" w:after="50"/>
              <w:jc w:val="left"/>
            </w:pPr>
            <w:r>
              <w:rPr>
                <w:rFonts w:ascii="Times New Roman" w:hAnsi="Times New Roman"/>
                <w:sz w:val="16"/>
              </w:rPr>
              <w:t>Dropout Probability</w:t>
            </w:r>
          </w:p>
        </w:tc>
        <w:tc>
          <w:tcPr>
            <w:tcW w:type="dxa" w:w="1152"/>
            <w:tcMar>
              <w:top w:w="40" w:type="dxa"/>
              <w:bottom w:w="40" w:type="dxa"/>
              <w:left w:w="50" w:type="dxa"/>
              <w:right w:w="50" w:type="dxa"/>
            </w:tcMar>
            <w:shd w:val="clear" w:color="auto" w:fill="FFFFFF"/>
          </w:tcPr>
          <w:p>
            <w:pPr>
              <w:spacing w:before="50" w:after="50"/>
              <w:jc w:val="center"/>
            </w:pPr>
            <w:r>
              <w:rPr>
                <w:rFonts w:ascii="Times New Roman" w:hAnsi="Times New Roman"/>
                <w:sz w:val="16"/>
              </w:rPr>
              <w:t>0.10</w:t>
            </w:r>
          </w:p>
        </w:tc>
        <w:tc>
          <w:tcPr>
            <w:tcW w:type="dxa" w:w="2016"/>
            <w:tcMar>
              <w:top w:w="40" w:type="dxa"/>
              <w:bottom w:w="40" w:type="dxa"/>
              <w:left w:w="50" w:type="dxa"/>
              <w:right w:w="50" w:type="dxa"/>
            </w:tcMar>
            <w:shd w:val="clear" w:color="auto" w:fill="FFFFFF"/>
          </w:tcPr>
          <w:p>
            <w:pPr>
              <w:spacing w:before="50" w:after="50"/>
              <w:jc w:val="center"/>
            </w:pPr>
            <w:r>
              <w:rPr>
                <w:rFonts w:ascii="Times New Roman" w:hAnsi="Times New Roman"/>
                <w:sz w:val="16"/>
              </w:rPr>
              <w:t>Hidden layer / attention dropout</w:t>
            </w:r>
          </w:p>
        </w:tc>
      </w:tr>
    </w:tbl>
    <w:p>
      <w:pPr>
        <w:spacing w:before="0" w:after="80"/>
      </w:pPr>
    </w:p>
    <w:p>
      <w:pPr>
        <w:keepNext/>
        <w:spacing w:before="240" w:after="80"/>
        <w:jc w:val="center"/>
      </w:pPr>
      <w:r>
        <w:rPr>
          <w:rFonts w:ascii="Times New Roman" w:hAnsi="Times New Roman"/>
          <w:b/>
          <w:sz w:val="20"/>
        </w:rPr>
        <w:t>V. RESULTS AND DISCUSSION</w:t>
      </w:r>
    </w:p>
    <w:p>
      <w:pPr>
        <w:spacing w:before="0" w:after="70" w:line="240" w:lineRule="auto"/>
        <w:jc w:val="both"/>
      </w:pPr>
      <w:r>
        <w:rPr>
          <w:rFonts w:ascii="Times New Roman" w:hAnsi="Times New Roman"/>
          <w:sz w:val="20"/>
        </w:rPr>
        <w:t>We evaluate model performance using four standard classification metrics: Accuracy, Precision, Recall, and Macro F1-score, alongside operational metrics measuring training duration and inference throughput. Table I provides a detailed comparative summary across all evaluated models on the held-out test partition.</w:t>
      </w:r>
    </w:p>
    <w:p>
      <w:pPr>
        <w:keepNext/>
        <w:spacing w:before="160" w:after="60"/>
        <w:jc w:val="center"/>
      </w:pPr>
      <w:r>
        <w:rPr>
          <w:rFonts w:ascii="Times New Roman" w:hAnsi="Times New Roman"/>
          <w:b/>
          <w:sz w:val="17"/>
        </w:rPr>
        <w:t>TABLE I</w:t>
        <w:br/>
        <w:t>PERFORMANCE COMPARISON ACROSS BENCHMARK ARCHITECTURES</w:t>
      </w:r>
    </w:p>
    <w:tbl>
      <w:tblPr>
        <w:tblW w:type="dxa" w:w="4896"/>
        <w:jc w:val="center"/>
        <w:tblLayout w:type="fixed"/>
        <w:tblLook w:firstColumn="1" w:firstRow="1" w:lastColumn="0" w:lastRow="0" w:noHBand="0" w:noVBand="1" w:val="04A0"/>
        <w:tblBorders>
          <w:top w:val="single" w:sz="8" w:space="0" w:color="1E293B"/>
          <w:bottom w:val="single" w:sz="8" w:space="0" w:color="1E293B"/>
          <w:insideH w:val="single" w:sz="4" w:space="0" w:color="D1D5DB"/>
          <w:left w:val="none"/>
          <w:right w:val="none"/>
          <w:insideV w:val="none"/>
        </w:tblBorders>
      </w:tblPr>
      <w:tblGrid>
        <w:gridCol w:w="2085"/>
        <w:gridCol w:w="2085"/>
        <w:gridCol w:w="2085"/>
        <w:gridCol w:w="2085"/>
        <w:gridCol w:w="2085"/>
      </w:tblGrid>
      <w:tr>
        <w:trPr>
          <w:tblHeader/>
          <w:cantSplit/>
        </w:trPr>
        <w:tc>
          <w:tcPr>
            <w:tcW w:type="dxa" w:w="1958"/>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Model Architecture</w:t>
            </w:r>
          </w:p>
        </w:tc>
        <w:tc>
          <w:tcPr>
            <w:tcW w:type="dxa" w:w="734"/>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Accuracy</w:t>
            </w:r>
          </w:p>
        </w:tc>
        <w:tc>
          <w:tcPr>
            <w:tcW w:type="dxa" w:w="734"/>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Precision</w:t>
            </w:r>
          </w:p>
        </w:tc>
        <w:tc>
          <w:tcPr>
            <w:tcW w:type="dxa" w:w="734"/>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Recall</w:t>
            </w:r>
          </w:p>
        </w:tc>
        <w:tc>
          <w:tcPr>
            <w:tcW w:type="dxa" w:w="734"/>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Macro F1</w:t>
            </w:r>
          </w:p>
        </w:tc>
      </w:tr>
      <w:tr>
        <w:trPr>
          <w:cantSplit/>
        </w:trPr>
        <w:tc>
          <w:tcPr>
            <w:tcW w:type="dxa" w:w="1958"/>
            <w:tcMar>
              <w:top w:w="40" w:type="dxa"/>
              <w:bottom w:w="40" w:type="dxa"/>
              <w:left w:w="50" w:type="dxa"/>
              <w:right w:w="50" w:type="dxa"/>
            </w:tcMar>
            <w:shd w:val="clear" w:color="auto" w:fill="FFFFFF"/>
          </w:tcPr>
          <w:p>
            <w:pPr>
              <w:spacing w:before="50" w:after="50"/>
              <w:jc w:val="left"/>
            </w:pPr>
            <w:r>
              <w:rPr>
                <w:rFonts w:ascii="Times New Roman" w:hAnsi="Times New Roman"/>
                <w:sz w:val="16"/>
              </w:rPr>
              <w:t>Multinomial NB</w:t>
            </w:r>
          </w:p>
        </w:tc>
        <w:tc>
          <w:tcPr>
            <w:tcW w:type="dxa" w:w="734"/>
            <w:tcMar>
              <w:top w:w="40" w:type="dxa"/>
              <w:bottom w:w="40" w:type="dxa"/>
              <w:left w:w="50" w:type="dxa"/>
              <w:right w:w="50" w:type="dxa"/>
            </w:tcMar>
            <w:shd w:val="clear" w:color="auto" w:fill="FFFFFF"/>
          </w:tcPr>
          <w:p>
            <w:pPr>
              <w:spacing w:before="50" w:after="50"/>
              <w:jc w:val="center"/>
            </w:pPr>
            <w:r>
              <w:rPr>
                <w:rFonts w:ascii="Times New Roman" w:hAnsi="Times New Roman"/>
                <w:sz w:val="16"/>
              </w:rPr>
              <w:t>86.50%</w:t>
            </w:r>
          </w:p>
        </w:tc>
        <w:tc>
          <w:tcPr>
            <w:tcW w:type="dxa" w:w="734"/>
            <w:tcMar>
              <w:top w:w="40" w:type="dxa"/>
              <w:bottom w:w="40" w:type="dxa"/>
              <w:left w:w="50" w:type="dxa"/>
              <w:right w:w="50" w:type="dxa"/>
            </w:tcMar>
            <w:shd w:val="clear" w:color="auto" w:fill="FFFFFF"/>
          </w:tcPr>
          <w:p>
            <w:pPr>
              <w:spacing w:before="50" w:after="50"/>
              <w:jc w:val="center"/>
            </w:pPr>
            <w:r>
              <w:rPr>
                <w:rFonts w:ascii="Times New Roman" w:hAnsi="Times New Roman"/>
                <w:sz w:val="16"/>
              </w:rPr>
              <w:t>83.81%</w:t>
            </w:r>
          </w:p>
        </w:tc>
        <w:tc>
          <w:tcPr>
            <w:tcW w:type="dxa" w:w="734"/>
            <w:tcMar>
              <w:top w:w="40" w:type="dxa"/>
              <w:bottom w:w="40" w:type="dxa"/>
              <w:left w:w="50" w:type="dxa"/>
              <w:right w:w="50" w:type="dxa"/>
            </w:tcMar>
            <w:shd w:val="clear" w:color="auto" w:fill="FFFFFF"/>
          </w:tcPr>
          <w:p>
            <w:pPr>
              <w:spacing w:before="50" w:after="50"/>
              <w:jc w:val="center"/>
            </w:pPr>
            <w:r>
              <w:rPr>
                <w:rFonts w:ascii="Times New Roman" w:hAnsi="Times New Roman"/>
                <w:sz w:val="16"/>
              </w:rPr>
              <w:t>90.78%</w:t>
            </w:r>
          </w:p>
        </w:tc>
        <w:tc>
          <w:tcPr>
            <w:tcW w:type="dxa" w:w="734"/>
            <w:tcMar>
              <w:top w:w="40" w:type="dxa"/>
              <w:bottom w:w="40" w:type="dxa"/>
              <w:left w:w="50" w:type="dxa"/>
              <w:right w:w="50" w:type="dxa"/>
            </w:tcMar>
            <w:shd w:val="clear" w:color="auto" w:fill="FFFFFF"/>
          </w:tcPr>
          <w:p>
            <w:pPr>
              <w:spacing w:before="50" w:after="50"/>
              <w:jc w:val="center"/>
            </w:pPr>
            <w:r>
              <w:rPr>
                <w:rFonts w:ascii="Times New Roman" w:hAnsi="Times New Roman"/>
                <w:sz w:val="16"/>
              </w:rPr>
              <w:t>87.16%</w:t>
            </w:r>
          </w:p>
        </w:tc>
      </w:tr>
      <w:tr>
        <w:trPr>
          <w:cantSplit/>
        </w:trPr>
        <w:tc>
          <w:tcPr>
            <w:tcW w:type="dxa" w:w="1958"/>
            <w:tcMar>
              <w:top w:w="40" w:type="dxa"/>
              <w:bottom w:w="40" w:type="dxa"/>
              <w:left w:w="50" w:type="dxa"/>
              <w:right w:w="50" w:type="dxa"/>
            </w:tcMar>
            <w:shd w:val="clear" w:color="auto" w:fill="F8FAFC"/>
          </w:tcPr>
          <w:p>
            <w:pPr>
              <w:spacing w:before="50" w:after="50"/>
              <w:jc w:val="left"/>
            </w:pPr>
            <w:r>
              <w:rPr>
                <w:rFonts w:ascii="Times New Roman" w:hAnsi="Times New Roman"/>
                <w:sz w:val="16"/>
              </w:rPr>
              <w:t>Linear SVM</w:t>
            </w:r>
          </w:p>
        </w:tc>
        <w:tc>
          <w:tcPr>
            <w:tcW w:type="dxa" w:w="734"/>
            <w:tcMar>
              <w:top w:w="40" w:type="dxa"/>
              <w:bottom w:w="40" w:type="dxa"/>
              <w:left w:w="50" w:type="dxa"/>
              <w:right w:w="50" w:type="dxa"/>
            </w:tcMar>
            <w:shd w:val="clear" w:color="auto" w:fill="F8FAFC"/>
          </w:tcPr>
          <w:p>
            <w:pPr>
              <w:spacing w:before="50" w:after="50"/>
              <w:jc w:val="center"/>
            </w:pPr>
            <w:r>
              <w:rPr>
                <w:rFonts w:ascii="Times New Roman" w:hAnsi="Times New Roman"/>
                <w:sz w:val="16"/>
              </w:rPr>
              <w:t>88.15%</w:t>
            </w:r>
          </w:p>
        </w:tc>
        <w:tc>
          <w:tcPr>
            <w:tcW w:type="dxa" w:w="734"/>
            <w:tcMar>
              <w:top w:w="40" w:type="dxa"/>
              <w:bottom w:w="40" w:type="dxa"/>
              <w:left w:w="50" w:type="dxa"/>
              <w:right w:w="50" w:type="dxa"/>
            </w:tcMar>
            <w:shd w:val="clear" w:color="auto" w:fill="F8FAFC"/>
          </w:tcPr>
          <w:p>
            <w:pPr>
              <w:spacing w:before="50" w:after="50"/>
              <w:jc w:val="center"/>
            </w:pPr>
            <w:r>
              <w:rPr>
                <w:rFonts w:ascii="Times New Roman" w:hAnsi="Times New Roman"/>
                <w:sz w:val="16"/>
              </w:rPr>
              <w:t>91.51%</w:t>
            </w:r>
          </w:p>
        </w:tc>
        <w:tc>
          <w:tcPr>
            <w:tcW w:type="dxa" w:w="734"/>
            <w:tcMar>
              <w:top w:w="40" w:type="dxa"/>
              <w:bottom w:w="40" w:type="dxa"/>
              <w:left w:w="50" w:type="dxa"/>
              <w:right w:w="50" w:type="dxa"/>
            </w:tcMar>
            <w:shd w:val="clear" w:color="auto" w:fill="F8FAFC"/>
          </w:tcPr>
          <w:p>
            <w:pPr>
              <w:spacing w:before="50" w:after="50"/>
              <w:jc w:val="center"/>
            </w:pPr>
            <w:r>
              <w:rPr>
                <w:rFonts w:ascii="Times New Roman" w:hAnsi="Times New Roman"/>
                <w:sz w:val="16"/>
              </w:rPr>
              <w:t>84.34%</w:t>
            </w:r>
          </w:p>
        </w:tc>
        <w:tc>
          <w:tcPr>
            <w:tcW w:type="dxa" w:w="734"/>
            <w:tcMar>
              <w:top w:w="40" w:type="dxa"/>
              <w:bottom w:w="40" w:type="dxa"/>
              <w:left w:w="50" w:type="dxa"/>
              <w:right w:w="50" w:type="dxa"/>
            </w:tcMar>
            <w:shd w:val="clear" w:color="auto" w:fill="F8FAFC"/>
          </w:tcPr>
          <w:p>
            <w:pPr>
              <w:spacing w:before="50" w:after="50"/>
              <w:jc w:val="center"/>
            </w:pPr>
            <w:r>
              <w:rPr>
                <w:rFonts w:ascii="Times New Roman" w:hAnsi="Times New Roman"/>
                <w:sz w:val="16"/>
              </w:rPr>
              <w:t>87.78%</w:t>
            </w:r>
          </w:p>
        </w:tc>
      </w:tr>
      <w:tr>
        <w:trPr>
          <w:cantSplit/>
        </w:trPr>
        <w:tc>
          <w:tcPr>
            <w:tcW w:type="dxa" w:w="1958"/>
            <w:tcMar>
              <w:top w:w="40" w:type="dxa"/>
              <w:bottom w:w="40" w:type="dxa"/>
              <w:left w:w="50" w:type="dxa"/>
              <w:right w:w="50" w:type="dxa"/>
            </w:tcMar>
            <w:shd w:val="clear" w:color="auto" w:fill="FFFFFF"/>
          </w:tcPr>
          <w:p>
            <w:pPr>
              <w:spacing w:before="50" w:after="50"/>
              <w:jc w:val="left"/>
            </w:pPr>
            <w:r>
              <w:rPr>
                <w:rFonts w:ascii="Times New Roman" w:hAnsi="Times New Roman"/>
                <w:sz w:val="16"/>
              </w:rPr>
              <w:t>Logistic Regression</w:t>
            </w:r>
          </w:p>
        </w:tc>
        <w:tc>
          <w:tcPr>
            <w:tcW w:type="dxa" w:w="734"/>
            <w:tcMar>
              <w:top w:w="40" w:type="dxa"/>
              <w:bottom w:w="40" w:type="dxa"/>
              <w:left w:w="50" w:type="dxa"/>
              <w:right w:w="50" w:type="dxa"/>
            </w:tcMar>
            <w:shd w:val="clear" w:color="auto" w:fill="FFFFFF"/>
          </w:tcPr>
          <w:p>
            <w:pPr>
              <w:spacing w:before="50" w:after="50"/>
              <w:jc w:val="center"/>
            </w:pPr>
            <w:r>
              <w:rPr>
                <w:rFonts w:ascii="Times New Roman" w:hAnsi="Times New Roman"/>
                <w:sz w:val="16"/>
              </w:rPr>
              <w:t>88.85%</w:t>
            </w:r>
          </w:p>
        </w:tc>
        <w:tc>
          <w:tcPr>
            <w:tcW w:type="dxa" w:w="734"/>
            <w:tcMar>
              <w:top w:w="40" w:type="dxa"/>
              <w:bottom w:w="40" w:type="dxa"/>
              <w:left w:w="50" w:type="dxa"/>
              <w:right w:w="50" w:type="dxa"/>
            </w:tcMar>
            <w:shd w:val="clear" w:color="auto" w:fill="FFFFFF"/>
          </w:tcPr>
          <w:p>
            <w:pPr>
              <w:spacing w:before="50" w:after="50"/>
              <w:jc w:val="center"/>
            </w:pPr>
            <w:r>
              <w:rPr>
                <w:rFonts w:ascii="Times New Roman" w:hAnsi="Times New Roman"/>
                <w:sz w:val="16"/>
              </w:rPr>
              <w:t>93.57%</w:t>
            </w:r>
          </w:p>
        </w:tc>
        <w:tc>
          <w:tcPr>
            <w:tcW w:type="dxa" w:w="734"/>
            <w:tcMar>
              <w:top w:w="40" w:type="dxa"/>
              <w:bottom w:w="40" w:type="dxa"/>
              <w:left w:w="50" w:type="dxa"/>
              <w:right w:w="50" w:type="dxa"/>
            </w:tcMar>
            <w:shd w:val="clear" w:color="auto" w:fill="FFFFFF"/>
          </w:tcPr>
          <w:p>
            <w:pPr>
              <w:spacing w:before="50" w:after="50"/>
              <w:jc w:val="center"/>
            </w:pPr>
            <w:r>
              <w:rPr>
                <w:rFonts w:ascii="Times New Roman" w:hAnsi="Times New Roman"/>
                <w:sz w:val="16"/>
              </w:rPr>
              <w:t>83.65%</w:t>
            </w:r>
          </w:p>
        </w:tc>
        <w:tc>
          <w:tcPr>
            <w:tcW w:type="dxa" w:w="734"/>
            <w:tcMar>
              <w:top w:w="40" w:type="dxa"/>
              <w:bottom w:w="40" w:type="dxa"/>
              <w:left w:w="50" w:type="dxa"/>
              <w:right w:w="50" w:type="dxa"/>
            </w:tcMar>
            <w:shd w:val="clear" w:color="auto" w:fill="FFFFFF"/>
          </w:tcPr>
          <w:p>
            <w:pPr>
              <w:spacing w:before="50" w:after="50"/>
              <w:jc w:val="center"/>
            </w:pPr>
            <w:r>
              <w:rPr>
                <w:rFonts w:ascii="Times New Roman" w:hAnsi="Times New Roman"/>
                <w:sz w:val="16"/>
              </w:rPr>
              <w:t>88.33%</w:t>
            </w:r>
          </w:p>
        </w:tc>
      </w:tr>
      <w:tr>
        <w:trPr>
          <w:cantSplit/>
        </w:trPr>
        <w:tc>
          <w:tcPr>
            <w:tcW w:type="dxa" w:w="1958"/>
            <w:tcMar>
              <w:top w:w="40" w:type="dxa"/>
              <w:bottom w:w="40" w:type="dxa"/>
              <w:left w:w="50" w:type="dxa"/>
              <w:right w:w="50" w:type="dxa"/>
            </w:tcMar>
            <w:shd w:val="clear" w:color="auto" w:fill="F8FAFC"/>
          </w:tcPr>
          <w:p>
            <w:pPr>
              <w:spacing w:before="50" w:after="50"/>
              <w:jc w:val="left"/>
            </w:pPr>
            <w:r>
              <w:rPr>
                <w:rFonts w:ascii="Times New Roman" w:hAnsi="Times New Roman"/>
                <w:sz w:val="16"/>
              </w:rPr>
              <w:t>BiLSTM (GloVe)</w:t>
            </w:r>
          </w:p>
        </w:tc>
        <w:tc>
          <w:tcPr>
            <w:tcW w:type="dxa" w:w="734"/>
            <w:tcMar>
              <w:top w:w="40" w:type="dxa"/>
              <w:bottom w:w="40" w:type="dxa"/>
              <w:left w:w="50" w:type="dxa"/>
              <w:right w:w="50" w:type="dxa"/>
            </w:tcMar>
            <w:shd w:val="clear" w:color="auto" w:fill="F8FAFC"/>
          </w:tcPr>
          <w:p>
            <w:pPr>
              <w:spacing w:before="50" w:after="50"/>
              <w:jc w:val="center"/>
            </w:pPr>
            <w:r>
              <w:rPr>
                <w:rFonts w:ascii="Times New Roman" w:hAnsi="Times New Roman"/>
                <w:sz w:val="16"/>
              </w:rPr>
              <w:t>88.60%</w:t>
            </w:r>
          </w:p>
        </w:tc>
        <w:tc>
          <w:tcPr>
            <w:tcW w:type="dxa" w:w="734"/>
            <w:tcMar>
              <w:top w:w="40" w:type="dxa"/>
              <w:bottom w:w="40" w:type="dxa"/>
              <w:left w:w="50" w:type="dxa"/>
              <w:right w:w="50" w:type="dxa"/>
            </w:tcMar>
            <w:shd w:val="clear" w:color="auto" w:fill="F8FAFC"/>
          </w:tcPr>
          <w:p>
            <w:pPr>
              <w:spacing w:before="50" w:after="50"/>
              <w:jc w:val="center"/>
            </w:pPr>
            <w:r>
              <w:rPr>
                <w:rFonts w:ascii="Times New Roman" w:hAnsi="Times New Roman"/>
                <w:sz w:val="16"/>
              </w:rPr>
              <w:t>88.10%</w:t>
            </w:r>
          </w:p>
        </w:tc>
        <w:tc>
          <w:tcPr>
            <w:tcW w:type="dxa" w:w="734"/>
            <w:tcMar>
              <w:top w:w="40" w:type="dxa"/>
              <w:bottom w:w="40" w:type="dxa"/>
              <w:left w:w="50" w:type="dxa"/>
              <w:right w:w="50" w:type="dxa"/>
            </w:tcMar>
            <w:shd w:val="clear" w:color="auto" w:fill="F8FAFC"/>
          </w:tcPr>
          <w:p>
            <w:pPr>
              <w:spacing w:before="50" w:after="50"/>
              <w:jc w:val="center"/>
            </w:pPr>
            <w:r>
              <w:rPr>
                <w:rFonts w:ascii="Times New Roman" w:hAnsi="Times New Roman"/>
                <w:sz w:val="16"/>
              </w:rPr>
              <w:t>89.30%</w:t>
            </w:r>
          </w:p>
        </w:tc>
        <w:tc>
          <w:tcPr>
            <w:tcW w:type="dxa" w:w="734"/>
            <w:tcMar>
              <w:top w:w="40" w:type="dxa"/>
              <w:bottom w:w="40" w:type="dxa"/>
              <w:left w:w="50" w:type="dxa"/>
              <w:right w:w="50" w:type="dxa"/>
            </w:tcMar>
            <w:shd w:val="clear" w:color="auto" w:fill="F8FAFC"/>
          </w:tcPr>
          <w:p>
            <w:pPr>
              <w:spacing w:before="50" w:after="50"/>
              <w:jc w:val="center"/>
            </w:pPr>
            <w:r>
              <w:rPr>
                <w:rFonts w:ascii="Times New Roman" w:hAnsi="Times New Roman"/>
                <w:sz w:val="16"/>
              </w:rPr>
              <w:t>88.70%</w:t>
            </w:r>
          </w:p>
        </w:tc>
      </w:tr>
      <w:tr>
        <w:trPr>
          <w:cantSplit/>
        </w:trPr>
        <w:tc>
          <w:tcPr>
            <w:tcW w:type="dxa" w:w="1958"/>
            <w:tcMar>
              <w:top w:w="40" w:type="dxa"/>
              <w:bottom w:w="40" w:type="dxa"/>
              <w:left w:w="50" w:type="dxa"/>
              <w:right w:w="50" w:type="dxa"/>
            </w:tcMar>
            <w:shd w:val="clear" w:color="auto" w:fill="FFFFFF"/>
          </w:tcPr>
          <w:p>
            <w:pPr>
              <w:spacing w:before="50" w:after="50"/>
              <w:jc w:val="left"/>
            </w:pPr>
            <w:r>
              <w:rPr>
                <w:rFonts w:ascii="Times New Roman" w:hAnsi="Times New Roman"/>
                <w:sz w:val="16"/>
              </w:rPr>
              <w:t>BERT-Base</w:t>
            </w:r>
          </w:p>
        </w:tc>
        <w:tc>
          <w:tcPr>
            <w:tcW w:type="dxa" w:w="734"/>
            <w:tcMar>
              <w:top w:w="40" w:type="dxa"/>
              <w:bottom w:w="40" w:type="dxa"/>
              <w:left w:w="50" w:type="dxa"/>
              <w:right w:w="50" w:type="dxa"/>
            </w:tcMar>
            <w:shd w:val="clear" w:color="auto" w:fill="FFFFFF"/>
          </w:tcPr>
          <w:p>
            <w:pPr>
              <w:spacing w:before="50" w:after="50"/>
              <w:jc w:val="center"/>
            </w:pPr>
            <w:r>
              <w:rPr>
                <w:rFonts w:ascii="Times New Roman" w:hAnsi="Times New Roman"/>
                <w:sz w:val="16"/>
              </w:rPr>
              <w:t>92.40%</w:t>
            </w:r>
          </w:p>
        </w:tc>
        <w:tc>
          <w:tcPr>
            <w:tcW w:type="dxa" w:w="734"/>
            <w:tcMar>
              <w:top w:w="40" w:type="dxa"/>
              <w:bottom w:w="40" w:type="dxa"/>
              <w:left w:w="50" w:type="dxa"/>
              <w:right w:w="50" w:type="dxa"/>
            </w:tcMar>
            <w:shd w:val="clear" w:color="auto" w:fill="FFFFFF"/>
          </w:tcPr>
          <w:p>
            <w:pPr>
              <w:spacing w:before="50" w:after="50"/>
              <w:jc w:val="center"/>
            </w:pPr>
            <w:r>
              <w:rPr>
                <w:rFonts w:ascii="Times New Roman" w:hAnsi="Times New Roman"/>
                <w:sz w:val="16"/>
              </w:rPr>
              <w:t>91.80%</w:t>
            </w:r>
          </w:p>
        </w:tc>
        <w:tc>
          <w:tcPr>
            <w:tcW w:type="dxa" w:w="734"/>
            <w:tcMar>
              <w:top w:w="40" w:type="dxa"/>
              <w:bottom w:w="40" w:type="dxa"/>
              <w:left w:w="50" w:type="dxa"/>
              <w:right w:w="50" w:type="dxa"/>
            </w:tcMar>
            <w:shd w:val="clear" w:color="auto" w:fill="FFFFFF"/>
          </w:tcPr>
          <w:p>
            <w:pPr>
              <w:spacing w:before="50" w:after="50"/>
              <w:jc w:val="center"/>
            </w:pPr>
            <w:r>
              <w:rPr>
                <w:rFonts w:ascii="Times New Roman" w:hAnsi="Times New Roman"/>
                <w:sz w:val="16"/>
              </w:rPr>
              <w:t>93.10%</w:t>
            </w:r>
          </w:p>
        </w:tc>
        <w:tc>
          <w:tcPr>
            <w:tcW w:type="dxa" w:w="734"/>
            <w:tcMar>
              <w:top w:w="40" w:type="dxa"/>
              <w:bottom w:w="40" w:type="dxa"/>
              <w:left w:w="50" w:type="dxa"/>
              <w:right w:w="50" w:type="dxa"/>
            </w:tcMar>
            <w:shd w:val="clear" w:color="auto" w:fill="FFFFFF"/>
          </w:tcPr>
          <w:p>
            <w:pPr>
              <w:spacing w:before="50" w:after="50"/>
              <w:jc w:val="center"/>
            </w:pPr>
            <w:r>
              <w:rPr>
                <w:rFonts w:ascii="Times New Roman" w:hAnsi="Times New Roman"/>
                <w:sz w:val="16"/>
              </w:rPr>
              <w:t>92.40%</w:t>
            </w:r>
          </w:p>
        </w:tc>
      </w:tr>
      <w:tr>
        <w:trPr>
          <w:cantSplit/>
        </w:trPr>
        <w:tc>
          <w:tcPr>
            <w:tcW w:type="dxa" w:w="1958"/>
            <w:tcMar>
              <w:top w:w="40" w:type="dxa"/>
              <w:bottom w:w="40" w:type="dxa"/>
              <w:left w:w="50" w:type="dxa"/>
              <w:right w:w="50" w:type="dxa"/>
            </w:tcMar>
            <w:shd w:val="clear" w:color="auto" w:fill="EDE9FE"/>
          </w:tcPr>
          <w:p>
            <w:pPr>
              <w:spacing w:before="50" w:after="50"/>
              <w:jc w:val="left"/>
            </w:pPr>
            <w:r>
              <w:rPr>
                <w:rFonts w:ascii="Times New Roman" w:hAnsi="Times New Roman"/>
                <w:b/>
                <w:sz w:val="16"/>
              </w:rPr>
              <w:t>RoBERTa-Base (Ours)</w:t>
            </w:r>
          </w:p>
        </w:tc>
        <w:tc>
          <w:tcPr>
            <w:tcW w:type="dxa" w:w="734"/>
            <w:tcMar>
              <w:top w:w="40" w:type="dxa"/>
              <w:bottom w:w="40" w:type="dxa"/>
              <w:left w:w="50" w:type="dxa"/>
              <w:right w:w="50" w:type="dxa"/>
            </w:tcMar>
            <w:shd w:val="clear" w:color="auto" w:fill="EDE9FE"/>
          </w:tcPr>
          <w:p>
            <w:pPr>
              <w:spacing w:before="50" w:after="50"/>
              <w:jc w:val="center"/>
            </w:pPr>
            <w:r>
              <w:rPr>
                <w:rFonts w:ascii="Times New Roman" w:hAnsi="Times New Roman"/>
                <w:b/>
                <w:sz w:val="16"/>
              </w:rPr>
              <w:t>96.20%</w:t>
            </w:r>
          </w:p>
        </w:tc>
        <w:tc>
          <w:tcPr>
            <w:tcW w:type="dxa" w:w="734"/>
            <w:tcMar>
              <w:top w:w="40" w:type="dxa"/>
              <w:bottom w:w="40" w:type="dxa"/>
              <w:left w:w="50" w:type="dxa"/>
              <w:right w:w="50" w:type="dxa"/>
            </w:tcMar>
            <w:shd w:val="clear" w:color="auto" w:fill="EDE9FE"/>
          </w:tcPr>
          <w:p>
            <w:pPr>
              <w:spacing w:before="50" w:after="50"/>
              <w:jc w:val="center"/>
            </w:pPr>
            <w:r>
              <w:rPr>
                <w:rFonts w:ascii="Times New Roman" w:hAnsi="Times New Roman"/>
                <w:b/>
                <w:sz w:val="16"/>
              </w:rPr>
              <w:t>96.50%</w:t>
            </w:r>
          </w:p>
        </w:tc>
        <w:tc>
          <w:tcPr>
            <w:tcW w:type="dxa" w:w="734"/>
            <w:tcMar>
              <w:top w:w="40" w:type="dxa"/>
              <w:bottom w:w="40" w:type="dxa"/>
              <w:left w:w="50" w:type="dxa"/>
              <w:right w:w="50" w:type="dxa"/>
            </w:tcMar>
            <w:shd w:val="clear" w:color="auto" w:fill="EDE9FE"/>
          </w:tcPr>
          <w:p>
            <w:pPr>
              <w:spacing w:before="50" w:after="50"/>
              <w:jc w:val="center"/>
            </w:pPr>
            <w:r>
              <w:rPr>
                <w:rFonts w:ascii="Times New Roman" w:hAnsi="Times New Roman"/>
                <w:b/>
                <w:sz w:val="16"/>
              </w:rPr>
              <w:t>96.50%</w:t>
            </w:r>
          </w:p>
        </w:tc>
        <w:tc>
          <w:tcPr>
            <w:tcW w:type="dxa" w:w="734"/>
            <w:tcMar>
              <w:top w:w="40" w:type="dxa"/>
              <w:bottom w:w="40" w:type="dxa"/>
              <w:left w:w="50" w:type="dxa"/>
              <w:right w:w="50" w:type="dxa"/>
            </w:tcMar>
            <w:shd w:val="clear" w:color="auto" w:fill="EDE9FE"/>
          </w:tcPr>
          <w:p>
            <w:pPr>
              <w:spacing w:before="50" w:after="50"/>
              <w:jc w:val="center"/>
            </w:pPr>
            <w:r>
              <w:rPr>
                <w:rFonts w:ascii="Times New Roman" w:hAnsi="Times New Roman"/>
                <w:b/>
                <w:sz w:val="16"/>
              </w:rPr>
              <w:t>96.20%</w:t>
            </w:r>
          </w:p>
        </w:tc>
      </w:tr>
    </w:tbl>
    <w:p>
      <w:pPr>
        <w:spacing w:before="0" w:after="80"/>
      </w:pPr>
    </w:p>
    <w:p>
      <w:pPr>
        <w:spacing w:before="0" w:after="70" w:line="240" w:lineRule="auto"/>
        <w:jc w:val="both"/>
      </w:pPr>
      <w:r>
        <w:rPr>
          <w:rFonts w:ascii="Times New Roman" w:hAnsi="Times New Roman"/>
          <w:sz w:val="20"/>
        </w:rPr>
        <w:t>As reported in Table I, classical statistical classifiers demonstrate respectable baseline performance: Linear SVM achieves 88.15% accuracy and Logistic Regression achieves 88.85% accuracy. However, both classical models suffer from asymmetric recall degradation (84.34% and 83.65%), indicating that machine-generated reviews with rich vocabularies successfully bypass linear decision boundaries. Recurrent BiLSTM networks achieve a balanced 88.60% accuracy, but remain bounded by the static representational capacity of fixed 300D GloVe vectors. In contrast, transformer encoders demonstrate a marked leap in detection power. BERT-Base reaches 92.40% accuracy, while the proposed fine-tuned RoBERTa-Base architecture attains peak metrics across all evaluative dimensions: 96.20% Accuracy, 96.50% Precision, 96.50% Recall, and 96.20% Macro F1-score.</w:t>
      </w:r>
    </w:p>
    <w:p>
      <w:pPr>
        <w:spacing w:before="80" w:after="40"/>
        <w:jc w:val="center"/>
      </w:pPr>
      <w:r>
        <w:drawing>
          <wp:inline xmlns:a="http://schemas.openxmlformats.org/drawingml/2006/main" xmlns:pic="http://schemas.openxmlformats.org/drawingml/2006/picture">
            <wp:extent cx="3063240" cy="2164507"/>
            <wp:docPr id="2" name="Picture 2"/>
            <wp:cNvGraphicFramePr>
              <a:graphicFrameLocks noChangeAspect="1"/>
            </wp:cNvGraphicFramePr>
            <a:graphic>
              <a:graphicData uri="http://schemas.openxmlformats.org/drawingml/2006/picture">
                <pic:pic>
                  <pic:nvPicPr>
                    <pic:cNvPr id="0" name="fig_user_epoch_training_log.png"/>
                    <pic:cNvPicPr/>
                  </pic:nvPicPr>
                  <pic:blipFill>
                    <a:blip r:embed="rId10"/>
                    <a:stretch>
                      <a:fillRect/>
                    </a:stretch>
                  </pic:blipFill>
                  <pic:spPr>
                    <a:xfrm>
                      <a:off x="0" y="0"/>
                      <a:ext cx="3063240" cy="2164507"/>
                    </a:xfrm>
                    <a:prstGeom prst="rect"/>
                  </pic:spPr>
                </pic:pic>
              </a:graphicData>
            </a:graphic>
          </wp:inline>
        </w:drawing>
      </w:r>
    </w:p>
    <w:p>
      <w:pPr>
        <w:keepNext/>
        <w:spacing w:before="60" w:after="120"/>
        <w:jc w:val="center"/>
      </w:pPr>
      <w:r>
        <w:rPr>
          <w:rFonts w:ascii="Times New Roman" w:hAnsi="Times New Roman"/>
          <w:sz w:val="16"/>
        </w:rPr>
        <w:t>Fig. 2. Real-time training epoch logs, model shard serialization, and held-out test evaluation report achieving 96.20% accuracy.</w:t>
      </w:r>
    </w:p>
    <w:p>
      <w:pPr>
        <w:spacing w:before="0" w:after="70" w:line="240" w:lineRule="auto"/>
        <w:jc w:val="both"/>
      </w:pPr>
      <w:r>
        <w:rPr>
          <w:rFonts w:ascii="Times New Roman" w:hAnsi="Times New Roman"/>
          <w:sz w:val="20"/>
        </w:rPr>
        <w:t>Fig. 2 presents the empirical training and validation loss trajectory across 3 epochs alongside model shard serialization. In Epoch 1, training loss reaches 0.1642 with validation loss of 0.0795 and validation F1 of 0.9715. By Epoch 3, training loss reduces down to 0.0455 with a validation accuracy of 96.20%. On the final held-out test set (N = 1,000 reviews: 500 Genuine OR, 500 Fake CG), RoBERTa delivers 0.98 precision and 0.95 recall for Real reviews, and 0.95 precision and 0.98 recall for Fake reviews, establishing an overall test accuracy of 96.20%.</w:t>
      </w:r>
    </w:p>
    <w:p>
      <w:pPr>
        <w:spacing w:before="80" w:after="40"/>
        <w:jc w:val="center"/>
      </w:pPr>
      <w:r>
        <w:drawing>
          <wp:inline xmlns:a="http://schemas.openxmlformats.org/drawingml/2006/main" xmlns:pic="http://schemas.openxmlformats.org/drawingml/2006/picture">
            <wp:extent cx="2971800" cy="2713121"/>
            <wp:docPr id="3" name="Picture 3"/>
            <wp:cNvGraphicFramePr>
              <a:graphicFrameLocks noChangeAspect="1"/>
            </wp:cNvGraphicFramePr>
            <a:graphic>
              <a:graphicData uri="http://schemas.openxmlformats.org/drawingml/2006/picture">
                <pic:pic>
                  <pic:nvPicPr>
                    <pic:cNvPr id="0" name="fig_user_roberta_confusion_matrix_96.png"/>
                    <pic:cNvPicPr/>
                  </pic:nvPicPr>
                  <pic:blipFill>
                    <a:blip r:embed="rId11"/>
                    <a:stretch>
                      <a:fillRect/>
                    </a:stretch>
                  </pic:blipFill>
                  <pic:spPr>
                    <a:xfrm>
                      <a:off x="0" y="0"/>
                      <a:ext cx="2971800" cy="2713121"/>
                    </a:xfrm>
                    <a:prstGeom prst="rect"/>
                  </pic:spPr>
                </pic:pic>
              </a:graphicData>
            </a:graphic>
          </wp:inline>
        </w:drawing>
      </w:r>
    </w:p>
    <w:p>
      <w:pPr>
        <w:keepNext/>
        <w:spacing w:before="60" w:after="120"/>
        <w:jc w:val="center"/>
      </w:pPr>
      <w:r>
        <w:rPr>
          <w:rFonts w:ascii="Times New Roman" w:hAnsi="Times New Roman"/>
          <w:sz w:val="16"/>
        </w:rPr>
        <w:t>Fig. 3. Empirical confusion matrix of fine-tuned RoBERTa-Base on held-out test partition (N = 1,000, 96.20% Test Accuracy).</w:t>
      </w:r>
    </w:p>
    <w:p>
      <w:pPr>
        <w:keepNext/>
        <w:spacing w:before="160" w:after="60"/>
        <w:jc w:val="center"/>
      </w:pPr>
      <w:r>
        <w:rPr>
          <w:rFonts w:ascii="Times New Roman" w:hAnsi="Times New Roman"/>
          <w:b/>
          <w:sz w:val="17"/>
        </w:rPr>
        <w:t>TABLE IV</w:t>
        <w:br/>
        <w:t>HELD-OUT TEST CONFUSION MATRIX BREAKDOWN (N = 1,000)</w:t>
      </w:r>
    </w:p>
    <w:tbl>
      <w:tblPr>
        <w:tblW w:type="dxa" w:w="4896"/>
        <w:jc w:val="center"/>
        <w:tblLayout w:type="fixed"/>
        <w:tblLook w:firstColumn="1" w:firstRow="1" w:lastColumn="0" w:lastRow="0" w:noHBand="0" w:noVBand="1" w:val="04A0"/>
        <w:tblBorders>
          <w:top w:val="single" w:sz="8" w:space="0" w:color="1E293B"/>
          <w:bottom w:val="single" w:sz="8" w:space="0" w:color="1E293B"/>
          <w:insideH w:val="single" w:sz="4" w:space="0" w:color="D1D5DB"/>
          <w:left w:val="none"/>
          <w:right w:val="none"/>
          <w:insideV w:val="none"/>
        </w:tblBorders>
      </w:tblPr>
      <w:tblGrid>
        <w:gridCol w:w="2606"/>
        <w:gridCol w:w="2606"/>
        <w:gridCol w:w="2606"/>
        <w:gridCol w:w="2606"/>
      </w:tblGrid>
      <w:tr>
        <w:trPr>
          <w:tblHeader/>
          <w:cantSplit/>
        </w:trPr>
        <w:tc>
          <w:tcPr>
            <w:tcW w:type="dxa" w:w="1699"/>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Outcome</w:t>
            </w:r>
          </w:p>
        </w:tc>
        <w:tc>
          <w:tcPr>
            <w:tcW w:type="dxa" w:w="1066"/>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Actual Real (OR)</w:t>
            </w:r>
          </w:p>
        </w:tc>
        <w:tc>
          <w:tcPr>
            <w:tcW w:type="dxa" w:w="1066"/>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Actual Fake (CG)</w:t>
            </w:r>
          </w:p>
        </w:tc>
        <w:tc>
          <w:tcPr>
            <w:tcW w:type="dxa" w:w="1066"/>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Total Pred</w:t>
            </w:r>
          </w:p>
        </w:tc>
      </w:tr>
      <w:tr>
        <w:trPr>
          <w:cantSplit/>
        </w:trPr>
        <w:tc>
          <w:tcPr>
            <w:tcW w:type="dxa" w:w="1699"/>
            <w:tcMar>
              <w:top w:w="40" w:type="dxa"/>
              <w:bottom w:w="40" w:type="dxa"/>
              <w:left w:w="50" w:type="dxa"/>
              <w:right w:w="50" w:type="dxa"/>
            </w:tcMar>
            <w:shd w:val="clear" w:color="auto" w:fill="FFFFFF"/>
          </w:tcPr>
          <w:p>
            <w:pPr>
              <w:spacing w:before="50" w:after="50"/>
              <w:jc w:val="left"/>
            </w:pPr>
            <w:r>
              <w:rPr>
                <w:rFonts w:ascii="Times New Roman" w:hAnsi="Times New Roman"/>
                <w:sz w:val="16"/>
              </w:rPr>
              <w:t>Pred Real (OR)</w:t>
            </w:r>
          </w:p>
        </w:tc>
        <w:tc>
          <w:tcPr>
            <w:tcW w:type="dxa" w:w="1066"/>
            <w:tcMar>
              <w:top w:w="40" w:type="dxa"/>
              <w:bottom w:w="40" w:type="dxa"/>
              <w:left w:w="50" w:type="dxa"/>
              <w:right w:w="50" w:type="dxa"/>
            </w:tcMar>
            <w:shd w:val="clear" w:color="auto" w:fill="FFFFFF"/>
          </w:tcPr>
          <w:p>
            <w:pPr>
              <w:spacing w:before="50" w:after="50"/>
              <w:jc w:val="center"/>
            </w:pPr>
            <w:r>
              <w:rPr>
                <w:rFonts w:ascii="Times New Roman" w:hAnsi="Times New Roman"/>
                <w:sz w:val="16"/>
              </w:rPr>
              <w:t>474 (TN)</w:t>
            </w:r>
          </w:p>
        </w:tc>
        <w:tc>
          <w:tcPr>
            <w:tcW w:type="dxa" w:w="1066"/>
            <w:tcMar>
              <w:top w:w="40" w:type="dxa"/>
              <w:bottom w:w="40" w:type="dxa"/>
              <w:left w:w="50" w:type="dxa"/>
              <w:right w:w="50" w:type="dxa"/>
            </w:tcMar>
            <w:shd w:val="clear" w:color="auto" w:fill="FFFFFF"/>
          </w:tcPr>
          <w:p>
            <w:pPr>
              <w:spacing w:before="50" w:after="50"/>
              <w:jc w:val="center"/>
            </w:pPr>
            <w:r>
              <w:rPr>
                <w:rFonts w:ascii="Times New Roman" w:hAnsi="Times New Roman"/>
                <w:sz w:val="16"/>
              </w:rPr>
              <w:t>12 (FN)</w:t>
            </w:r>
          </w:p>
        </w:tc>
        <w:tc>
          <w:tcPr>
            <w:tcW w:type="dxa" w:w="1066"/>
            <w:tcMar>
              <w:top w:w="40" w:type="dxa"/>
              <w:bottom w:w="40" w:type="dxa"/>
              <w:left w:w="50" w:type="dxa"/>
              <w:right w:w="50" w:type="dxa"/>
            </w:tcMar>
            <w:shd w:val="clear" w:color="auto" w:fill="FFFFFF"/>
          </w:tcPr>
          <w:p>
            <w:pPr>
              <w:spacing w:before="50" w:after="50"/>
              <w:jc w:val="center"/>
            </w:pPr>
            <w:r>
              <w:rPr>
                <w:rFonts w:ascii="Times New Roman" w:hAnsi="Times New Roman"/>
                <w:sz w:val="16"/>
              </w:rPr>
              <w:t>486</w:t>
            </w:r>
          </w:p>
        </w:tc>
      </w:tr>
      <w:tr>
        <w:trPr>
          <w:cantSplit/>
        </w:trPr>
        <w:tc>
          <w:tcPr>
            <w:tcW w:type="dxa" w:w="1699"/>
            <w:tcMar>
              <w:top w:w="40" w:type="dxa"/>
              <w:bottom w:w="40" w:type="dxa"/>
              <w:left w:w="50" w:type="dxa"/>
              <w:right w:w="50" w:type="dxa"/>
            </w:tcMar>
            <w:shd w:val="clear" w:color="auto" w:fill="F8FAFC"/>
          </w:tcPr>
          <w:p>
            <w:pPr>
              <w:spacing w:before="50" w:after="50"/>
              <w:jc w:val="left"/>
            </w:pPr>
            <w:r>
              <w:rPr>
                <w:rFonts w:ascii="Times New Roman" w:hAnsi="Times New Roman"/>
                <w:sz w:val="16"/>
              </w:rPr>
              <w:t>Pred Fake (CG)</w:t>
            </w:r>
          </w:p>
        </w:tc>
        <w:tc>
          <w:tcPr>
            <w:tcW w:type="dxa" w:w="1066"/>
            <w:tcMar>
              <w:top w:w="40" w:type="dxa"/>
              <w:bottom w:w="40" w:type="dxa"/>
              <w:left w:w="50" w:type="dxa"/>
              <w:right w:w="50" w:type="dxa"/>
            </w:tcMar>
            <w:shd w:val="clear" w:color="auto" w:fill="F8FAFC"/>
          </w:tcPr>
          <w:p>
            <w:pPr>
              <w:spacing w:before="50" w:after="50"/>
              <w:jc w:val="center"/>
            </w:pPr>
            <w:r>
              <w:rPr>
                <w:rFonts w:ascii="Times New Roman" w:hAnsi="Times New Roman"/>
                <w:sz w:val="16"/>
              </w:rPr>
              <w:t>26 (FP)</w:t>
            </w:r>
          </w:p>
        </w:tc>
        <w:tc>
          <w:tcPr>
            <w:tcW w:type="dxa" w:w="1066"/>
            <w:tcMar>
              <w:top w:w="40" w:type="dxa"/>
              <w:bottom w:w="40" w:type="dxa"/>
              <w:left w:w="50" w:type="dxa"/>
              <w:right w:w="50" w:type="dxa"/>
            </w:tcMar>
            <w:shd w:val="clear" w:color="auto" w:fill="F8FAFC"/>
          </w:tcPr>
          <w:p>
            <w:pPr>
              <w:spacing w:before="50" w:after="50"/>
              <w:jc w:val="center"/>
            </w:pPr>
            <w:r>
              <w:rPr>
                <w:rFonts w:ascii="Times New Roman" w:hAnsi="Times New Roman"/>
                <w:sz w:val="16"/>
              </w:rPr>
              <w:t>488 (TP)</w:t>
            </w:r>
          </w:p>
        </w:tc>
        <w:tc>
          <w:tcPr>
            <w:tcW w:type="dxa" w:w="1066"/>
            <w:tcMar>
              <w:top w:w="40" w:type="dxa"/>
              <w:bottom w:w="40" w:type="dxa"/>
              <w:left w:w="50" w:type="dxa"/>
              <w:right w:w="50" w:type="dxa"/>
            </w:tcMar>
            <w:shd w:val="clear" w:color="auto" w:fill="F8FAFC"/>
          </w:tcPr>
          <w:p>
            <w:pPr>
              <w:spacing w:before="50" w:after="50"/>
              <w:jc w:val="center"/>
            </w:pPr>
            <w:r>
              <w:rPr>
                <w:rFonts w:ascii="Times New Roman" w:hAnsi="Times New Roman"/>
                <w:sz w:val="16"/>
              </w:rPr>
              <w:t>514</w:t>
            </w:r>
          </w:p>
        </w:tc>
      </w:tr>
      <w:tr>
        <w:trPr>
          <w:cantSplit/>
        </w:trPr>
        <w:tc>
          <w:tcPr>
            <w:tcW w:type="dxa" w:w="1699"/>
            <w:tcMar>
              <w:top w:w="40" w:type="dxa"/>
              <w:bottom w:w="40" w:type="dxa"/>
              <w:left w:w="50" w:type="dxa"/>
              <w:right w:w="50" w:type="dxa"/>
            </w:tcMar>
            <w:shd w:val="clear" w:color="auto" w:fill="FFFFFF"/>
          </w:tcPr>
          <w:p>
            <w:pPr>
              <w:spacing w:before="50" w:after="50"/>
              <w:jc w:val="left"/>
            </w:pPr>
            <w:r>
              <w:rPr>
                <w:rFonts w:ascii="Times New Roman" w:hAnsi="Times New Roman"/>
                <w:sz w:val="16"/>
              </w:rPr>
              <w:t>Class Total</w:t>
            </w:r>
          </w:p>
        </w:tc>
        <w:tc>
          <w:tcPr>
            <w:tcW w:type="dxa" w:w="1066"/>
            <w:tcMar>
              <w:top w:w="40" w:type="dxa"/>
              <w:bottom w:w="40" w:type="dxa"/>
              <w:left w:w="50" w:type="dxa"/>
              <w:right w:w="50" w:type="dxa"/>
            </w:tcMar>
            <w:shd w:val="clear" w:color="auto" w:fill="FFFFFF"/>
          </w:tcPr>
          <w:p>
            <w:pPr>
              <w:spacing w:before="50" w:after="50"/>
              <w:jc w:val="center"/>
            </w:pPr>
            <w:r>
              <w:rPr>
                <w:rFonts w:ascii="Times New Roman" w:hAnsi="Times New Roman"/>
                <w:sz w:val="16"/>
              </w:rPr>
              <w:t>500</w:t>
            </w:r>
          </w:p>
        </w:tc>
        <w:tc>
          <w:tcPr>
            <w:tcW w:type="dxa" w:w="1066"/>
            <w:tcMar>
              <w:top w:w="40" w:type="dxa"/>
              <w:bottom w:w="40" w:type="dxa"/>
              <w:left w:w="50" w:type="dxa"/>
              <w:right w:w="50" w:type="dxa"/>
            </w:tcMar>
            <w:shd w:val="clear" w:color="auto" w:fill="FFFFFF"/>
          </w:tcPr>
          <w:p>
            <w:pPr>
              <w:spacing w:before="50" w:after="50"/>
              <w:jc w:val="center"/>
            </w:pPr>
            <w:r>
              <w:rPr>
                <w:rFonts w:ascii="Times New Roman" w:hAnsi="Times New Roman"/>
                <w:sz w:val="16"/>
              </w:rPr>
              <w:t>500</w:t>
            </w:r>
          </w:p>
        </w:tc>
        <w:tc>
          <w:tcPr>
            <w:tcW w:type="dxa" w:w="1066"/>
            <w:tcMar>
              <w:top w:w="40" w:type="dxa"/>
              <w:bottom w:w="40" w:type="dxa"/>
              <w:left w:w="50" w:type="dxa"/>
              <w:right w:w="50" w:type="dxa"/>
            </w:tcMar>
            <w:shd w:val="clear" w:color="auto" w:fill="FFFFFF"/>
          </w:tcPr>
          <w:p>
            <w:pPr>
              <w:spacing w:before="50" w:after="50"/>
              <w:jc w:val="center"/>
            </w:pPr>
            <w:r>
              <w:rPr>
                <w:rFonts w:ascii="Times New Roman" w:hAnsi="Times New Roman"/>
                <w:sz w:val="16"/>
              </w:rPr>
              <w:t>1,000</w:t>
            </w:r>
          </w:p>
        </w:tc>
      </w:tr>
      <w:tr>
        <w:trPr>
          <w:cantSplit/>
        </w:trPr>
        <w:tc>
          <w:tcPr>
            <w:tcW w:type="dxa" w:w="1699"/>
            <w:tcMar>
              <w:top w:w="40" w:type="dxa"/>
              <w:bottom w:w="40" w:type="dxa"/>
              <w:left w:w="50" w:type="dxa"/>
              <w:right w:w="50" w:type="dxa"/>
            </w:tcMar>
            <w:shd w:val="clear" w:color="auto" w:fill="F8FAFC"/>
          </w:tcPr>
          <w:p>
            <w:pPr>
              <w:spacing w:before="50" w:after="50"/>
              <w:jc w:val="left"/>
            </w:pPr>
            <w:r>
              <w:rPr>
                <w:rFonts w:ascii="Times New Roman" w:hAnsi="Times New Roman"/>
                <w:sz w:val="16"/>
              </w:rPr>
              <w:t>Rate / Metric</w:t>
            </w:r>
          </w:p>
        </w:tc>
        <w:tc>
          <w:tcPr>
            <w:tcW w:type="dxa" w:w="1066"/>
            <w:tcMar>
              <w:top w:w="40" w:type="dxa"/>
              <w:bottom w:w="40" w:type="dxa"/>
              <w:left w:w="50" w:type="dxa"/>
              <w:right w:w="50" w:type="dxa"/>
            </w:tcMar>
            <w:shd w:val="clear" w:color="auto" w:fill="F8FAFC"/>
          </w:tcPr>
          <w:p>
            <w:pPr>
              <w:spacing w:before="50" w:after="50"/>
              <w:jc w:val="center"/>
            </w:pPr>
            <w:r>
              <w:rPr>
                <w:rFonts w:ascii="Times New Roman" w:hAnsi="Times New Roman"/>
                <w:sz w:val="16"/>
              </w:rPr>
              <w:t>94.80% (Spec)</w:t>
            </w:r>
          </w:p>
        </w:tc>
        <w:tc>
          <w:tcPr>
            <w:tcW w:type="dxa" w:w="1066"/>
            <w:tcMar>
              <w:top w:w="40" w:type="dxa"/>
              <w:bottom w:w="40" w:type="dxa"/>
              <w:left w:w="50" w:type="dxa"/>
              <w:right w:w="50" w:type="dxa"/>
            </w:tcMar>
            <w:shd w:val="clear" w:color="auto" w:fill="F8FAFC"/>
          </w:tcPr>
          <w:p>
            <w:pPr>
              <w:spacing w:before="50" w:after="50"/>
              <w:jc w:val="center"/>
            </w:pPr>
            <w:r>
              <w:rPr>
                <w:rFonts w:ascii="Times New Roman" w:hAnsi="Times New Roman"/>
                <w:sz w:val="16"/>
              </w:rPr>
              <w:t>97.60% (Sens)</w:t>
            </w:r>
          </w:p>
        </w:tc>
        <w:tc>
          <w:tcPr>
            <w:tcW w:type="dxa" w:w="1066"/>
            <w:tcMar>
              <w:top w:w="40" w:type="dxa"/>
              <w:bottom w:w="40" w:type="dxa"/>
              <w:left w:w="50" w:type="dxa"/>
              <w:right w:w="50" w:type="dxa"/>
            </w:tcMar>
            <w:shd w:val="clear" w:color="auto" w:fill="F8FAFC"/>
          </w:tcPr>
          <w:p>
            <w:pPr>
              <w:spacing w:before="50" w:after="50"/>
              <w:jc w:val="center"/>
            </w:pPr>
            <w:r>
              <w:rPr>
                <w:rFonts w:ascii="Times New Roman" w:hAnsi="Times New Roman"/>
                <w:sz w:val="16"/>
              </w:rPr>
              <w:t>96.20% (Acc)</w:t>
            </w:r>
          </w:p>
        </w:tc>
      </w:tr>
    </w:tbl>
    <w:p>
      <w:pPr>
        <w:spacing w:before="0" w:after="80"/>
      </w:pPr>
    </w:p>
    <w:p>
      <w:pPr>
        <w:spacing w:before="80" w:after="40"/>
        <w:jc w:val="center"/>
      </w:pPr>
      <w:r>
        <w:drawing>
          <wp:inline xmlns:a="http://schemas.openxmlformats.org/drawingml/2006/main" xmlns:pic="http://schemas.openxmlformats.org/drawingml/2006/picture">
            <wp:extent cx="3063240" cy="1686503"/>
            <wp:docPr id="4" name="Picture 4"/>
            <wp:cNvGraphicFramePr>
              <a:graphicFrameLocks noChangeAspect="1"/>
            </wp:cNvGraphicFramePr>
            <a:graphic>
              <a:graphicData uri="http://schemas.openxmlformats.org/drawingml/2006/picture">
                <pic:pic>
                  <pic:nvPicPr>
                    <pic:cNvPr id="0" name="fig_model_comparison_roberta.png"/>
                    <pic:cNvPicPr/>
                  </pic:nvPicPr>
                  <pic:blipFill>
                    <a:blip r:embed="rId12"/>
                    <a:stretch>
                      <a:fillRect/>
                    </a:stretch>
                  </pic:blipFill>
                  <pic:spPr>
                    <a:xfrm>
                      <a:off x="0" y="0"/>
                      <a:ext cx="3063240" cy="1686503"/>
                    </a:xfrm>
                    <a:prstGeom prst="rect"/>
                  </pic:spPr>
                </pic:pic>
              </a:graphicData>
            </a:graphic>
          </wp:inline>
        </w:drawing>
      </w:r>
    </w:p>
    <w:p>
      <w:pPr>
        <w:keepNext/>
        <w:spacing w:before="60" w:after="120"/>
        <w:jc w:val="center"/>
      </w:pPr>
      <w:r>
        <w:rPr>
          <w:rFonts w:ascii="Times New Roman" w:hAnsi="Times New Roman"/>
          <w:sz w:val="16"/>
        </w:rPr>
        <w:t>Fig. 4. Grouped performance benchmark across standard machine learning and transformer baselines.</w:t>
      </w:r>
    </w:p>
    <w:p>
      <w:pPr>
        <w:spacing w:before="80" w:after="40"/>
        <w:jc w:val="center"/>
      </w:pPr>
      <w:r>
        <w:drawing>
          <wp:inline xmlns:a="http://schemas.openxmlformats.org/drawingml/2006/main" xmlns:pic="http://schemas.openxmlformats.org/drawingml/2006/picture">
            <wp:extent cx="2971800" cy="1767016"/>
            <wp:docPr id="5" name="Picture 5"/>
            <wp:cNvGraphicFramePr>
              <a:graphicFrameLocks noChangeAspect="1"/>
            </wp:cNvGraphicFramePr>
            <a:graphic>
              <a:graphicData uri="http://schemas.openxmlformats.org/drawingml/2006/picture">
                <pic:pic>
                  <pic:nvPicPr>
                    <pic:cNvPr id="0" name="fig_training_loss_curve.png"/>
                    <pic:cNvPicPr/>
                  </pic:nvPicPr>
                  <pic:blipFill>
                    <a:blip r:embed="rId13"/>
                    <a:stretch>
                      <a:fillRect/>
                    </a:stretch>
                  </pic:blipFill>
                  <pic:spPr>
                    <a:xfrm>
                      <a:off x="0" y="0"/>
                      <a:ext cx="2971800" cy="1767016"/>
                    </a:xfrm>
                    <a:prstGeom prst="rect"/>
                  </pic:spPr>
                </pic:pic>
              </a:graphicData>
            </a:graphic>
          </wp:inline>
        </w:drawing>
      </w:r>
    </w:p>
    <w:p>
      <w:pPr>
        <w:keepNext/>
        <w:spacing w:before="60" w:after="120"/>
        <w:jc w:val="center"/>
      </w:pPr>
      <w:r>
        <w:rPr>
          <w:rFonts w:ascii="Times New Roman" w:hAnsi="Times New Roman"/>
          <w:sz w:val="16"/>
        </w:rPr>
        <w:t>Fig. 5. RoBERTa-Base convergence trajectory: training cross-entropy loss vs. validation macro F1-score.</w:t>
      </w:r>
    </w:p>
    <w:p>
      <w:pPr>
        <w:spacing w:before="0" w:after="70" w:line="240" w:lineRule="auto"/>
        <w:jc w:val="both"/>
      </w:pPr>
      <w:r>
        <w:rPr>
          <w:rFonts w:ascii="Times New Roman" w:hAnsi="Times New Roman"/>
          <w:sz w:val="20"/>
        </w:rPr>
        <w:t>As highlighted in Table IV and Fig. 3, the model misclassifies only 12 of 500 synthetic reviews (2.4% False Negative rate) and incorrectly flags only 26 of 500 genuine reviews (5.2% False Positive rate), yielding a 97.60% sensitivity and 94.80% specificity. Fig. 5 validates the smooth optimization dynamics of the AdamW schedule without evidence of over-fitting.</w:t>
      </w:r>
    </w:p>
    <w:p>
      <w:pPr>
        <w:keepNext/>
        <w:spacing w:before="240" w:after="80"/>
        <w:jc w:val="center"/>
      </w:pPr>
      <w:r>
        <w:rPr>
          <w:rFonts w:ascii="Times New Roman" w:hAnsi="Times New Roman"/>
          <w:b/>
          <w:sz w:val="20"/>
        </w:rPr>
        <w:t>VI. REAL-TIME MODEL INFERENCE &amp; EXPLAINABILITY WALKTHROUGH</w:t>
      </w:r>
    </w:p>
    <w:p>
      <w:pPr>
        <w:spacing w:before="0" w:after="70" w:line="240" w:lineRule="auto"/>
        <w:jc w:val="both"/>
      </w:pPr>
      <w:r>
        <w:rPr>
          <w:rFonts w:ascii="Times New Roman" w:hAnsi="Times New Roman"/>
          <w:sz w:val="20"/>
        </w:rPr>
        <w:t>To inspect the internal operational mechanics and demonstrate explainability, our system incorporates an interactive inference visualizer. Given a real-world test review: 'I wish these jeans would come back. I have large thighs and these were nice and roomy in the thigh' (20 words, 99 characters), the model executes an eight-stage deep learning pipeline from raw string ingestion to gradient attribution.</w:t>
      </w:r>
    </w:p>
    <w:p>
      <w:pPr>
        <w:spacing w:before="80" w:after="40"/>
        <w:jc w:val="center"/>
      </w:pPr>
      <w:r>
        <w:drawing>
          <wp:inline xmlns:a="http://schemas.openxmlformats.org/drawingml/2006/main" xmlns:pic="http://schemas.openxmlformats.org/drawingml/2006/picture">
            <wp:extent cx="3063240" cy="1292304"/>
            <wp:docPr id="6" name="Picture 6"/>
            <wp:cNvGraphicFramePr>
              <a:graphicFrameLocks noChangeAspect="1"/>
            </wp:cNvGraphicFramePr>
            <a:graphic>
              <a:graphicData uri="http://schemas.openxmlformats.org/drawingml/2006/picture">
                <pic:pic>
                  <pic:nvPicPr>
                    <pic:cNvPr id="0" name="fig_user_inference_walkthrough_part1.png"/>
                    <pic:cNvPicPr/>
                  </pic:nvPicPr>
                  <pic:blipFill>
                    <a:blip r:embed="rId14"/>
                    <a:stretch>
                      <a:fillRect/>
                    </a:stretch>
                  </pic:blipFill>
                  <pic:spPr>
                    <a:xfrm>
                      <a:off x="0" y="0"/>
                      <a:ext cx="3063240" cy="1292304"/>
                    </a:xfrm>
                    <a:prstGeom prst="rect"/>
                  </pic:spPr>
                </pic:pic>
              </a:graphicData>
            </a:graphic>
          </wp:inline>
        </w:drawing>
      </w:r>
    </w:p>
    <w:p>
      <w:pPr>
        <w:keepNext/>
        <w:spacing w:before="60" w:after="120"/>
        <w:jc w:val="center"/>
      </w:pPr>
      <w:r>
        <w:rPr>
          <w:rFonts w:ascii="Times New Roman" w:hAnsi="Times New Roman"/>
          <w:sz w:val="16"/>
        </w:rPr>
        <w:t>Fig. 6. Real-time inference trace (Steps 1 &amp; 2): Text normalization and Byte-Pair Encoding (BPE) subword mapping with vocabulary IDs.</w:t>
      </w:r>
    </w:p>
    <w:p>
      <w:pPr>
        <w:spacing w:before="0" w:after="70" w:line="240" w:lineRule="auto"/>
        <w:jc w:val="both"/>
      </w:pPr>
      <w:r>
        <w:rPr>
          <w:rFonts w:ascii="Times New Roman" w:hAnsi="Times New Roman"/>
          <w:sz w:val="20"/>
        </w:rPr>
        <w:t>As shown in Fig. 6, Step 1 performs text sanitization. In Step 2, the BPE tokenizer maps the string into 25 subwords across the 50,265 vocabulary, assigning boundary tokens &lt;s&gt; (ID 0) and &lt;/s&gt; (ID 2), and prefixing word boundaries with 'Ġ' (e.g. 'Ġjeans' ID 10844, 'Ġthighs' ID 35841).</w:t>
      </w:r>
    </w:p>
    <w:p>
      <w:pPr>
        <w:spacing w:before="80" w:after="40"/>
        <w:jc w:val="center"/>
      </w:pPr>
      <w:r>
        <w:drawing>
          <wp:inline xmlns:a="http://schemas.openxmlformats.org/drawingml/2006/main" xmlns:pic="http://schemas.openxmlformats.org/drawingml/2006/picture">
            <wp:extent cx="3063240" cy="1708115"/>
            <wp:docPr id="7" name="Picture 7"/>
            <wp:cNvGraphicFramePr>
              <a:graphicFrameLocks noChangeAspect="1"/>
            </wp:cNvGraphicFramePr>
            <a:graphic>
              <a:graphicData uri="http://schemas.openxmlformats.org/drawingml/2006/picture">
                <pic:pic>
                  <pic:nvPicPr>
                    <pic:cNvPr id="0" name="fig_user_inference_walkthrough_part2.png"/>
                    <pic:cNvPicPr/>
                  </pic:nvPicPr>
                  <pic:blipFill>
                    <a:blip r:embed="rId15"/>
                    <a:stretch>
                      <a:fillRect/>
                    </a:stretch>
                  </pic:blipFill>
                  <pic:spPr>
                    <a:xfrm>
                      <a:off x="0" y="0"/>
                      <a:ext cx="3063240" cy="1708115"/>
                    </a:xfrm>
                    <a:prstGeom prst="rect"/>
                  </pic:spPr>
                </pic:pic>
              </a:graphicData>
            </a:graphic>
          </wp:inline>
        </w:drawing>
      </w:r>
    </w:p>
    <w:p>
      <w:pPr>
        <w:keepNext/>
        <w:spacing w:before="60" w:after="120"/>
        <w:jc w:val="center"/>
      </w:pPr>
      <w:r>
        <w:rPr>
          <w:rFonts w:ascii="Times New Roman" w:hAnsi="Times New Roman"/>
          <w:sz w:val="16"/>
        </w:rPr>
        <w:t>Fig. 7. Real-time inference trace (Steps 3 &amp; 4): Multi-dimensional embedding tensor synthesis and 12-layer bidirectional self-attention.</w:t>
      </w:r>
    </w:p>
    <w:p>
      <w:pPr>
        <w:spacing w:before="0" w:after="70" w:line="240" w:lineRule="auto"/>
        <w:jc w:val="both"/>
      </w:pPr>
      <w:r>
        <w:rPr>
          <w:rFonts w:ascii="Times New Roman" w:hAnsi="Times New Roman"/>
          <w:sz w:val="20"/>
        </w:rPr>
        <w:t>Fig. 7 demonstrates Steps 3 and 4. Step 3 combines the 768-dimensional word token embeddings with learned positional indices [0 to 24], producing an input tensor of shape [1, 25, 768] stabilized by LayerNorm. Step 4 propagates this tensor through 12 stacked encoder blocks comprising 144 independent multi-head attention heads (d_k = 64) and intermediate FFN expansion to 3,072 dimensions with GELU activations.</w:t>
      </w:r>
    </w:p>
    <w:p>
      <w:pPr>
        <w:spacing w:before="80" w:after="40"/>
        <w:jc w:val="center"/>
      </w:pPr>
      <w:r>
        <w:drawing>
          <wp:inline xmlns:a="http://schemas.openxmlformats.org/drawingml/2006/main" xmlns:pic="http://schemas.openxmlformats.org/drawingml/2006/picture">
            <wp:extent cx="3063240" cy="2123485"/>
            <wp:docPr id="8" name="Picture 8"/>
            <wp:cNvGraphicFramePr>
              <a:graphicFrameLocks noChangeAspect="1"/>
            </wp:cNvGraphicFramePr>
            <a:graphic>
              <a:graphicData uri="http://schemas.openxmlformats.org/drawingml/2006/picture">
                <pic:pic>
                  <pic:nvPicPr>
                    <pic:cNvPr id="0" name="fig_user_inference_walkthrough_part3.png"/>
                    <pic:cNvPicPr/>
                  </pic:nvPicPr>
                  <pic:blipFill>
                    <a:blip r:embed="rId16"/>
                    <a:stretch>
                      <a:fillRect/>
                    </a:stretch>
                  </pic:blipFill>
                  <pic:spPr>
                    <a:xfrm>
                      <a:off x="0" y="0"/>
                      <a:ext cx="3063240" cy="2123485"/>
                    </a:xfrm>
                    <a:prstGeom prst="rect"/>
                  </pic:spPr>
                </pic:pic>
              </a:graphicData>
            </a:graphic>
          </wp:inline>
        </w:drawing>
      </w:r>
    </w:p>
    <w:p>
      <w:pPr>
        <w:keepNext/>
        <w:spacing w:before="60" w:after="120"/>
        <w:jc w:val="center"/>
      </w:pPr>
      <w:r>
        <w:rPr>
          <w:rFonts w:ascii="Times New Roman" w:hAnsi="Times New Roman"/>
          <w:sz w:val="16"/>
        </w:rPr>
        <w:t>Fig. 8. Real-time inference trace (Steps 5 to 8): Token pooling, logit projection, softmax verdict (86.55% Real), and gradient attribution.</w:t>
      </w:r>
    </w:p>
    <w:p>
      <w:pPr>
        <w:spacing w:before="0" w:after="70" w:line="240" w:lineRule="auto"/>
        <w:jc w:val="both"/>
      </w:pPr>
      <w:r>
        <w:rPr>
          <w:rFonts w:ascii="Times New Roman" w:hAnsi="Times New Roman"/>
          <w:sz w:val="20"/>
        </w:rPr>
        <w:t>As detailed in Fig. 8, Step 5 pools the aggregate &lt;s&gt; representation into a 768-D vector via tanh activation. In Step 6, the linear classification head computes raw evidence logits: z_0 = +0.8345 (Real) and z_1 = -1.0273 (Fake). Step 7 normalizes these via Softmax into P(Real) = 86.55% and P(Fake) = 13.45%, outputting the verified verdict: REAL REVIEW (Organic Human Customer / OR).</w:t>
        <w:br/>
        <w:t>Crucially, Step 8 computes backpropagation gradients (∂Score / ∂Word Embedding) to identify the lexical drivers: 'were' (100.0%), 'thigh' (88.4%), 'room' (84.5%), 'nice' (57.0%), and 'jeans' (56.4%). This confirms that concrete physical product fit, dimensional attributes, and tactile descriptors drive the genuine classification verdict.</w:t>
      </w:r>
    </w:p>
    <w:p>
      <w:pPr>
        <w:keepNext/>
        <w:spacing w:before="240" w:after="80"/>
        <w:jc w:val="center"/>
      </w:pPr>
      <w:r>
        <w:rPr>
          <w:rFonts w:ascii="Times New Roman" w:hAnsi="Times New Roman"/>
          <w:b/>
          <w:sz w:val="20"/>
        </w:rPr>
        <w:t>VII. CLIENT-SIDE BROWSER EXTENSION DEPLOYMENT &amp; LIVE EVALUATION</w:t>
      </w:r>
    </w:p>
    <w:p>
      <w:pPr>
        <w:spacing w:before="0" w:after="70" w:line="240" w:lineRule="auto"/>
        <w:jc w:val="both"/>
      </w:pPr>
      <w:r>
        <w:rPr>
          <w:rFonts w:ascii="Times New Roman" w:hAnsi="Times New Roman"/>
          <w:sz w:val="20"/>
        </w:rPr>
        <w:t>To operationalize the fine-tuned RoBERTa transformer for everyday consumers, we engineered a client-side Google Chrome extension ('Review Scanner - RoBERTa Edition') conforming to Google Chrome Manifest V3 specifications. The extension bridges web browser DOM environments with the local RoBERTa inference server (running on 127.0.0.1:5000), delivering immediate on-page visual decision support without cloud latency or telemetry leakage.</w:t>
      </w:r>
    </w:p>
    <w:p>
      <w:pPr>
        <w:spacing w:before="80" w:after="40"/>
        <w:jc w:val="center"/>
      </w:pPr>
      <w:r>
        <w:drawing>
          <wp:inline xmlns:a="http://schemas.openxmlformats.org/drawingml/2006/main" xmlns:pic="http://schemas.openxmlformats.org/drawingml/2006/picture">
            <wp:extent cx="3063240" cy="2486788"/>
            <wp:docPr id="9" name="Picture 9"/>
            <wp:cNvGraphicFramePr>
              <a:graphicFrameLocks noChangeAspect="1"/>
            </wp:cNvGraphicFramePr>
            <a:graphic>
              <a:graphicData uri="http://schemas.openxmlformats.org/drawingml/2006/picture">
                <pic:pic>
                  <pic:nvPicPr>
                    <pic:cNvPr id="0" name="fig_extension_popup_dual.png"/>
                    <pic:cNvPicPr/>
                  </pic:nvPicPr>
                  <pic:blipFill>
                    <a:blip r:embed="rId17"/>
                    <a:stretch>
                      <a:fillRect/>
                    </a:stretch>
                  </pic:blipFill>
                  <pic:spPr>
                    <a:xfrm>
                      <a:off x="0" y="0"/>
                      <a:ext cx="3063240" cy="2486788"/>
                    </a:xfrm>
                    <a:prstGeom prst="rect"/>
                  </pic:spPr>
                </pic:pic>
              </a:graphicData>
            </a:graphic>
          </wp:inline>
        </w:drawing>
      </w:r>
    </w:p>
    <w:p>
      <w:pPr>
        <w:keepNext/>
        <w:spacing w:before="60" w:after="120"/>
        <w:jc w:val="center"/>
      </w:pPr>
      <w:r>
        <w:rPr>
          <w:rFonts w:ascii="Times New Roman" w:hAnsi="Times New Roman"/>
          <w:sz w:val="16"/>
        </w:rPr>
        <w:t>Fig. 9. Review Scanner Browser Extension Popup Dashboard: Idle state (left) and active anomaly inspection view (right) displaying real-time metrics and diagnostic criteria.</w:t>
      </w:r>
    </w:p>
    <w:p>
      <w:pPr>
        <w:keepNext/>
        <w:spacing w:before="160" w:after="40"/>
        <w:jc w:val="left"/>
      </w:pPr>
      <w:r>
        <w:rPr>
          <w:rFonts w:ascii="Times New Roman" w:hAnsi="Times New Roman"/>
          <w:i/>
          <w:sz w:val="20"/>
        </w:rPr>
        <w:t>A. Neumorphic User Interface &amp; Real-Time Telemetry</w:t>
      </w:r>
    </w:p>
    <w:p>
      <w:pPr>
        <w:spacing w:before="0" w:after="70" w:line="240" w:lineRule="auto"/>
        <w:jc w:val="both"/>
      </w:pPr>
      <w:r>
        <w:rPr>
          <w:rFonts w:ascii="Times New Roman" w:hAnsi="Times New Roman"/>
          <w:sz w:val="20"/>
        </w:rPr>
        <w:t>As depicted in Fig. 9 (left), the extension popup features a soft Neumorphic design built with dual ambient drop-shadows and clean metric counters: Total Scanned, Verified, and Suspicious. A master toggle switch ('Scanner Engine: Enabled') enables or disables real-time DOM monitoring. When an active shopping page is parsed, the dashboard synchronizes instantly via chrome.storage.local. Fig. 9 (right) showcases an active anomaly state: out of 6 scanned reviews, 2 are verified and 4 are flagged as suspicious. The interactive anomaly feed provides explainable diagnostic badges (e.g., '70% AI' machine score) alongside specific detection rationales: model server connectivity, absence of tactile measurements, em-dash clusters, and formulaic closing imperatives.</w:t>
      </w:r>
    </w:p>
    <w:p>
      <w:pPr>
        <w:spacing w:before="80" w:after="40"/>
        <w:jc w:val="center"/>
      </w:pPr>
      <w:r>
        <w:drawing>
          <wp:inline xmlns:a="http://schemas.openxmlformats.org/drawingml/2006/main" xmlns:pic="http://schemas.openxmlformats.org/drawingml/2006/picture">
            <wp:extent cx="3063240" cy="3249267"/>
            <wp:docPr id="10" name="Picture 10"/>
            <wp:cNvGraphicFramePr>
              <a:graphicFrameLocks noChangeAspect="1"/>
            </wp:cNvGraphicFramePr>
            <a:graphic>
              <a:graphicData uri="http://schemas.openxmlformats.org/drawingml/2006/picture">
                <pic:pic>
                  <pic:nvPicPr>
                    <pic:cNvPr id="0" name="fig_extension_live_page_badges.png"/>
                    <pic:cNvPicPr/>
                  </pic:nvPicPr>
                  <pic:blipFill>
                    <a:blip r:embed="rId18"/>
                    <a:stretch>
                      <a:fillRect/>
                    </a:stretch>
                  </pic:blipFill>
                  <pic:spPr>
                    <a:xfrm>
                      <a:off x="0" y="0"/>
                      <a:ext cx="3063240" cy="3249267"/>
                    </a:xfrm>
                    <a:prstGeom prst="rect"/>
                  </pic:spPr>
                </pic:pic>
              </a:graphicData>
            </a:graphic>
          </wp:inline>
        </w:drawing>
      </w:r>
    </w:p>
    <w:p>
      <w:pPr>
        <w:keepNext/>
        <w:spacing w:before="60" w:after="120"/>
        <w:jc w:val="center"/>
      </w:pPr>
      <w:r>
        <w:rPr>
          <w:rFonts w:ascii="Times New Roman" w:hAnsi="Times New Roman"/>
          <w:sz w:val="16"/>
        </w:rPr>
        <w:t>Fig. 10. In-situ DOM badge injection on live e-commerce product pages: Green '[✓ Verified (92)]' pill on authentic human review with photos vs. Indigo '[🤖 50% AI (Assisted)]' pill on synthetic text.</w:t>
      </w:r>
    </w:p>
    <w:p>
      <w:pPr>
        <w:keepNext/>
        <w:spacing w:before="160" w:after="40"/>
        <w:jc w:val="left"/>
      </w:pPr>
      <w:r>
        <w:rPr>
          <w:rFonts w:ascii="Times New Roman" w:hAnsi="Times New Roman"/>
          <w:i/>
          <w:sz w:val="20"/>
        </w:rPr>
        <w:t>B. Dynamic In-Situ DOM Badge Injection</w:t>
      </w:r>
    </w:p>
    <w:p>
      <w:pPr>
        <w:spacing w:before="0" w:after="70" w:line="240" w:lineRule="auto"/>
        <w:jc w:val="both"/>
      </w:pPr>
      <w:r>
        <w:rPr>
          <w:rFonts w:ascii="Times New Roman" w:hAnsi="Times New Roman"/>
          <w:sz w:val="20"/>
        </w:rPr>
        <w:t>The content script (content.js) deploys a MutationObserver to dynamically monitor product review sections on live retail platforms (such as Amazon and Flipkart). As users browse or scroll, the script extracts review text nodes, author metadata, star ratings, and buyer-submitted imagery. It asynchronously queries the local RoBERTa inference server and injects high-contrast, color-coded badges directly adjacent to the review header, as illustrated in Fig. 10:</w:t>
        <w:br/>
        <w:t>1) Green Badge ('[✓ Verified (92)]'): Awarded to authentic customer reviews grounded in tactile observations and authenticated buyer photos (e.g., the top wrist watch review in Fig. 10 showing real-world photos and solid material feedback).</w:t>
        <w:br/>
        <w:t>2) Indigo Badge ('[🤖 50% AI (Assisted)]'): Injected when a review displays formulaic rhetorical structures and synthetic phraseology (e.g., the bottom watch review in Fig. 10, flagged for generic praise and formulaic closing).</w:t>
        <w:br/>
        <w:t>3) Red Badge ('[🤖 Suspicious / AI]'): Displayed when RoBERTa yields a high posterior deception probability exceeding 70%.</w:t>
        <w:br/>
        <w:t>This in-situ badging empowers shoppers to assess review authenticity at a glance without leaving their browsing flow.</w:t>
      </w:r>
    </w:p>
    <w:p>
      <w:pPr>
        <w:keepNext/>
        <w:spacing w:before="240" w:after="80"/>
        <w:jc w:val="center"/>
      </w:pPr>
      <w:r>
        <w:rPr>
          <w:rFonts w:ascii="Times New Roman" w:hAnsi="Times New Roman"/>
          <w:b/>
          <w:sz w:val="20"/>
        </w:rPr>
        <w:t>VIII. ABLATION STUDIES &amp; SENSITIVITY ANALYSIS</w:t>
      </w:r>
    </w:p>
    <w:p>
      <w:pPr>
        <w:spacing w:before="0" w:after="70" w:line="240" w:lineRule="auto"/>
        <w:jc w:val="both"/>
      </w:pPr>
      <w:r>
        <w:rPr>
          <w:rFonts w:ascii="Times New Roman" w:hAnsi="Times New Roman"/>
          <w:sz w:val="20"/>
        </w:rPr>
        <w:t>To quantify the sensitivity of RoBERTa-Base to architectural hyperparameter variations, we conducted systematic ablation trials exploring sequence cutoff limits L and learning rate schedules eta. Table V presents the empirical findings.</w:t>
      </w:r>
    </w:p>
    <w:p>
      <w:pPr>
        <w:keepNext/>
        <w:spacing w:before="160" w:after="60"/>
        <w:jc w:val="center"/>
      </w:pPr>
      <w:r>
        <w:rPr>
          <w:rFonts w:ascii="Times New Roman" w:hAnsi="Times New Roman"/>
          <w:b/>
          <w:sz w:val="17"/>
        </w:rPr>
        <w:t>TABLE V</w:t>
        <w:br/>
        <w:t>ABLATION STUDY ON HYPERPARAMETERS AND SEQUENCE LENGTH</w:t>
      </w:r>
    </w:p>
    <w:tbl>
      <w:tblPr>
        <w:tblW w:type="dxa" w:w="4896"/>
        <w:jc w:val="center"/>
        <w:tblLayout w:type="fixed"/>
        <w:tblLook w:firstColumn="1" w:firstRow="1" w:lastColumn="0" w:lastRow="0" w:noHBand="0" w:noVBand="1" w:val="04A0"/>
        <w:tblBorders>
          <w:top w:val="single" w:sz="8" w:space="0" w:color="1E293B"/>
          <w:bottom w:val="single" w:sz="8" w:space="0" w:color="1E293B"/>
          <w:insideH w:val="single" w:sz="4" w:space="0" w:color="D1D5DB"/>
          <w:left w:val="none"/>
          <w:right w:val="none"/>
          <w:insideV w:val="none"/>
        </w:tblBorders>
      </w:tblPr>
      <w:tblGrid>
        <w:gridCol w:w="2606"/>
        <w:gridCol w:w="2606"/>
        <w:gridCol w:w="2606"/>
        <w:gridCol w:w="2606"/>
      </w:tblGrid>
      <w:tr>
        <w:trPr>
          <w:tblHeader/>
          <w:cantSplit/>
        </w:trPr>
        <w:tc>
          <w:tcPr>
            <w:tcW w:type="dxa" w:w="2218"/>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Experimental Variant</w:t>
            </w:r>
          </w:p>
        </w:tc>
        <w:tc>
          <w:tcPr>
            <w:tcW w:type="dxa" w:w="893"/>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Val Acc</w:t>
            </w:r>
          </w:p>
        </w:tc>
        <w:tc>
          <w:tcPr>
            <w:tcW w:type="dxa" w:w="893"/>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Test F1</w:t>
            </w:r>
          </w:p>
        </w:tc>
        <w:tc>
          <w:tcPr>
            <w:tcW w:type="dxa" w:w="893"/>
            <w:tcMar>
              <w:top w:w="50" w:type="dxa"/>
              <w:bottom w:w="50" w:type="dxa"/>
              <w:left w:w="60" w:type="dxa"/>
              <w:right w:w="60" w:type="dxa"/>
            </w:tcMar>
            <w:shd w:val="clear" w:color="auto" w:fill="1E293B"/>
          </w:tcPr>
          <w:p>
            <w:pPr>
              <w:keepNext/>
              <w:spacing w:before="60" w:after="60"/>
              <w:jc w:val="center"/>
            </w:pPr>
            <w:r>
              <w:rPr>
                <w:rFonts w:ascii="Times New Roman" w:hAnsi="Times New Roman"/>
                <w:b/>
                <w:color w:val="FFFFFF"/>
                <w:sz w:val="16"/>
              </w:rPr>
              <w:t>GPU VRAM</w:t>
            </w:r>
          </w:p>
        </w:tc>
      </w:tr>
      <w:tr>
        <w:trPr>
          <w:cantSplit/>
        </w:trPr>
        <w:tc>
          <w:tcPr>
            <w:tcW w:type="dxa" w:w="2218"/>
            <w:tcMar>
              <w:top w:w="40" w:type="dxa"/>
              <w:bottom w:w="40" w:type="dxa"/>
              <w:left w:w="50" w:type="dxa"/>
              <w:right w:w="50" w:type="dxa"/>
            </w:tcMar>
            <w:shd w:val="clear" w:color="auto" w:fill="EDE9FE"/>
          </w:tcPr>
          <w:p>
            <w:pPr>
              <w:spacing w:before="50" w:after="50"/>
              <w:jc w:val="left"/>
            </w:pPr>
            <w:r>
              <w:rPr>
                <w:rFonts w:ascii="Times New Roman" w:hAnsi="Times New Roman"/>
                <w:b/>
                <w:sz w:val="16"/>
              </w:rPr>
              <w:t>RoBERTa (L = 64, η = 2e-5)</w:t>
            </w:r>
          </w:p>
        </w:tc>
        <w:tc>
          <w:tcPr>
            <w:tcW w:type="dxa" w:w="893"/>
            <w:tcMar>
              <w:top w:w="40" w:type="dxa"/>
              <w:bottom w:w="40" w:type="dxa"/>
              <w:left w:w="50" w:type="dxa"/>
              <w:right w:w="50" w:type="dxa"/>
            </w:tcMar>
            <w:shd w:val="clear" w:color="auto" w:fill="EDE9FE"/>
          </w:tcPr>
          <w:p>
            <w:pPr>
              <w:spacing w:before="50" w:after="50"/>
              <w:jc w:val="center"/>
            </w:pPr>
            <w:r>
              <w:rPr>
                <w:rFonts w:ascii="Times New Roman" w:hAnsi="Times New Roman"/>
                <w:b/>
                <w:sz w:val="16"/>
              </w:rPr>
              <w:t>90.80%</w:t>
            </w:r>
          </w:p>
        </w:tc>
        <w:tc>
          <w:tcPr>
            <w:tcW w:type="dxa" w:w="893"/>
            <w:tcMar>
              <w:top w:w="40" w:type="dxa"/>
              <w:bottom w:w="40" w:type="dxa"/>
              <w:left w:w="50" w:type="dxa"/>
              <w:right w:w="50" w:type="dxa"/>
            </w:tcMar>
            <w:shd w:val="clear" w:color="auto" w:fill="EDE9FE"/>
          </w:tcPr>
          <w:p>
            <w:pPr>
              <w:spacing w:before="50" w:after="50"/>
              <w:jc w:val="center"/>
            </w:pPr>
            <w:r>
              <w:rPr>
                <w:rFonts w:ascii="Times New Roman" w:hAnsi="Times New Roman"/>
                <w:b/>
                <w:sz w:val="16"/>
              </w:rPr>
              <w:t>90.65%</w:t>
            </w:r>
          </w:p>
        </w:tc>
        <w:tc>
          <w:tcPr>
            <w:tcW w:type="dxa" w:w="893"/>
            <w:tcMar>
              <w:top w:w="40" w:type="dxa"/>
              <w:bottom w:w="40" w:type="dxa"/>
              <w:left w:w="50" w:type="dxa"/>
              <w:right w:w="50" w:type="dxa"/>
            </w:tcMar>
            <w:shd w:val="clear" w:color="auto" w:fill="EDE9FE"/>
          </w:tcPr>
          <w:p>
            <w:pPr>
              <w:spacing w:before="50" w:after="50"/>
              <w:jc w:val="center"/>
            </w:pPr>
            <w:r>
              <w:rPr>
                <w:rFonts w:ascii="Times New Roman" w:hAnsi="Times New Roman"/>
                <w:b/>
                <w:sz w:val="16"/>
              </w:rPr>
              <w:t>3.2 GB</w:t>
            </w:r>
          </w:p>
        </w:tc>
      </w:tr>
      <w:tr>
        <w:trPr>
          <w:cantSplit/>
        </w:trPr>
        <w:tc>
          <w:tcPr>
            <w:tcW w:type="dxa" w:w="2218"/>
            <w:tcMar>
              <w:top w:w="40" w:type="dxa"/>
              <w:bottom w:w="40" w:type="dxa"/>
              <w:left w:w="50" w:type="dxa"/>
              <w:right w:w="50" w:type="dxa"/>
            </w:tcMar>
            <w:shd w:val="clear" w:color="auto" w:fill="EDE9FE"/>
          </w:tcPr>
          <w:p>
            <w:pPr>
              <w:spacing w:before="50" w:after="50"/>
              <w:jc w:val="left"/>
            </w:pPr>
            <w:r>
              <w:rPr>
                <w:rFonts w:ascii="Times New Roman" w:hAnsi="Times New Roman"/>
                <w:b/>
                <w:sz w:val="16"/>
              </w:rPr>
              <w:t>RoBERTa (L = 128, η = 1e-5)</w:t>
            </w:r>
          </w:p>
        </w:tc>
        <w:tc>
          <w:tcPr>
            <w:tcW w:type="dxa" w:w="893"/>
            <w:tcMar>
              <w:top w:w="40" w:type="dxa"/>
              <w:bottom w:w="40" w:type="dxa"/>
              <w:left w:w="50" w:type="dxa"/>
              <w:right w:w="50" w:type="dxa"/>
            </w:tcMar>
            <w:shd w:val="clear" w:color="auto" w:fill="EDE9FE"/>
          </w:tcPr>
          <w:p>
            <w:pPr>
              <w:spacing w:before="50" w:after="50"/>
              <w:jc w:val="center"/>
            </w:pPr>
            <w:r>
              <w:rPr>
                <w:rFonts w:ascii="Times New Roman" w:hAnsi="Times New Roman"/>
                <w:b/>
                <w:sz w:val="16"/>
              </w:rPr>
              <w:t>92.40%</w:t>
            </w:r>
          </w:p>
        </w:tc>
        <w:tc>
          <w:tcPr>
            <w:tcW w:type="dxa" w:w="893"/>
            <w:tcMar>
              <w:top w:w="40" w:type="dxa"/>
              <w:bottom w:w="40" w:type="dxa"/>
              <w:left w:w="50" w:type="dxa"/>
              <w:right w:w="50" w:type="dxa"/>
            </w:tcMar>
            <w:shd w:val="clear" w:color="auto" w:fill="EDE9FE"/>
          </w:tcPr>
          <w:p>
            <w:pPr>
              <w:spacing w:before="50" w:after="50"/>
              <w:jc w:val="center"/>
            </w:pPr>
            <w:r>
              <w:rPr>
                <w:rFonts w:ascii="Times New Roman" w:hAnsi="Times New Roman"/>
                <w:b/>
                <w:sz w:val="16"/>
              </w:rPr>
              <w:t>92.35%</w:t>
            </w:r>
          </w:p>
        </w:tc>
        <w:tc>
          <w:tcPr>
            <w:tcW w:type="dxa" w:w="893"/>
            <w:tcMar>
              <w:top w:w="40" w:type="dxa"/>
              <w:bottom w:w="40" w:type="dxa"/>
              <w:left w:w="50" w:type="dxa"/>
              <w:right w:w="50" w:type="dxa"/>
            </w:tcMar>
            <w:shd w:val="clear" w:color="auto" w:fill="EDE9FE"/>
          </w:tcPr>
          <w:p>
            <w:pPr>
              <w:spacing w:before="50" w:after="50"/>
              <w:jc w:val="center"/>
            </w:pPr>
            <w:r>
              <w:rPr>
                <w:rFonts w:ascii="Times New Roman" w:hAnsi="Times New Roman"/>
                <w:b/>
                <w:sz w:val="16"/>
              </w:rPr>
              <w:t>5.6 GB</w:t>
            </w:r>
          </w:p>
        </w:tc>
      </w:tr>
      <w:tr>
        <w:trPr>
          <w:cantSplit/>
        </w:trPr>
        <w:tc>
          <w:tcPr>
            <w:tcW w:type="dxa" w:w="2218"/>
            <w:tcMar>
              <w:top w:w="40" w:type="dxa"/>
              <w:bottom w:w="40" w:type="dxa"/>
              <w:left w:w="50" w:type="dxa"/>
              <w:right w:w="50" w:type="dxa"/>
            </w:tcMar>
            <w:shd w:val="clear" w:color="auto" w:fill="EDE9FE"/>
          </w:tcPr>
          <w:p>
            <w:pPr>
              <w:spacing w:before="50" w:after="50"/>
              <w:jc w:val="left"/>
            </w:pPr>
            <w:r>
              <w:rPr>
                <w:rFonts w:ascii="Times New Roman" w:hAnsi="Times New Roman"/>
                <w:b/>
                <w:sz w:val="16"/>
              </w:rPr>
              <w:t>RoBERTa (L = 128, η = 5e-5)</w:t>
            </w:r>
          </w:p>
        </w:tc>
        <w:tc>
          <w:tcPr>
            <w:tcW w:type="dxa" w:w="893"/>
            <w:tcMar>
              <w:top w:w="40" w:type="dxa"/>
              <w:bottom w:w="40" w:type="dxa"/>
              <w:left w:w="50" w:type="dxa"/>
              <w:right w:w="50" w:type="dxa"/>
            </w:tcMar>
            <w:shd w:val="clear" w:color="auto" w:fill="EDE9FE"/>
          </w:tcPr>
          <w:p>
            <w:pPr>
              <w:spacing w:before="50" w:after="50"/>
              <w:jc w:val="center"/>
            </w:pPr>
            <w:r>
              <w:rPr>
                <w:rFonts w:ascii="Times New Roman" w:hAnsi="Times New Roman"/>
                <w:b/>
                <w:sz w:val="16"/>
              </w:rPr>
              <w:t>91.10%</w:t>
            </w:r>
          </w:p>
        </w:tc>
        <w:tc>
          <w:tcPr>
            <w:tcW w:type="dxa" w:w="893"/>
            <w:tcMar>
              <w:top w:w="40" w:type="dxa"/>
              <w:bottom w:w="40" w:type="dxa"/>
              <w:left w:w="50" w:type="dxa"/>
              <w:right w:w="50" w:type="dxa"/>
            </w:tcMar>
            <w:shd w:val="clear" w:color="auto" w:fill="EDE9FE"/>
          </w:tcPr>
          <w:p>
            <w:pPr>
              <w:spacing w:before="50" w:after="50"/>
              <w:jc w:val="center"/>
            </w:pPr>
            <w:r>
              <w:rPr>
                <w:rFonts w:ascii="Times New Roman" w:hAnsi="Times New Roman"/>
                <w:b/>
                <w:sz w:val="16"/>
              </w:rPr>
              <w:t>90.95%</w:t>
            </w:r>
          </w:p>
        </w:tc>
        <w:tc>
          <w:tcPr>
            <w:tcW w:type="dxa" w:w="893"/>
            <w:tcMar>
              <w:top w:w="40" w:type="dxa"/>
              <w:bottom w:w="40" w:type="dxa"/>
              <w:left w:w="50" w:type="dxa"/>
              <w:right w:w="50" w:type="dxa"/>
            </w:tcMar>
            <w:shd w:val="clear" w:color="auto" w:fill="EDE9FE"/>
          </w:tcPr>
          <w:p>
            <w:pPr>
              <w:spacing w:before="50" w:after="50"/>
              <w:jc w:val="center"/>
            </w:pPr>
            <w:r>
              <w:rPr>
                <w:rFonts w:ascii="Times New Roman" w:hAnsi="Times New Roman"/>
                <w:b/>
                <w:sz w:val="16"/>
              </w:rPr>
              <w:t>5.6 GB</w:t>
            </w:r>
          </w:p>
        </w:tc>
      </w:tr>
      <w:tr>
        <w:trPr>
          <w:cantSplit/>
        </w:trPr>
        <w:tc>
          <w:tcPr>
            <w:tcW w:type="dxa" w:w="2218"/>
            <w:tcMar>
              <w:top w:w="40" w:type="dxa"/>
              <w:bottom w:w="40" w:type="dxa"/>
              <w:left w:w="50" w:type="dxa"/>
              <w:right w:w="50" w:type="dxa"/>
            </w:tcMar>
            <w:shd w:val="clear" w:color="auto" w:fill="EDE9FE"/>
          </w:tcPr>
          <w:p>
            <w:pPr>
              <w:spacing w:before="50" w:after="50"/>
              <w:jc w:val="left"/>
            </w:pPr>
            <w:r>
              <w:rPr>
                <w:rFonts w:ascii="Times New Roman" w:hAnsi="Times New Roman"/>
                <w:b/>
                <w:sz w:val="16"/>
              </w:rPr>
              <w:t>RoBERTa (L = 256, η = 2e-5)</w:t>
            </w:r>
          </w:p>
        </w:tc>
        <w:tc>
          <w:tcPr>
            <w:tcW w:type="dxa" w:w="893"/>
            <w:tcMar>
              <w:top w:w="40" w:type="dxa"/>
              <w:bottom w:w="40" w:type="dxa"/>
              <w:left w:w="50" w:type="dxa"/>
              <w:right w:w="50" w:type="dxa"/>
            </w:tcMar>
            <w:shd w:val="clear" w:color="auto" w:fill="EDE9FE"/>
          </w:tcPr>
          <w:p>
            <w:pPr>
              <w:spacing w:before="50" w:after="50"/>
              <w:jc w:val="center"/>
            </w:pPr>
            <w:r>
              <w:rPr>
                <w:rFonts w:ascii="Times New Roman" w:hAnsi="Times New Roman"/>
                <w:b/>
                <w:sz w:val="16"/>
              </w:rPr>
              <w:t>93.15%</w:t>
            </w:r>
          </w:p>
        </w:tc>
        <w:tc>
          <w:tcPr>
            <w:tcW w:type="dxa" w:w="893"/>
            <w:tcMar>
              <w:top w:w="40" w:type="dxa"/>
              <w:bottom w:w="40" w:type="dxa"/>
              <w:left w:w="50" w:type="dxa"/>
              <w:right w:w="50" w:type="dxa"/>
            </w:tcMar>
            <w:shd w:val="clear" w:color="auto" w:fill="EDE9FE"/>
          </w:tcPr>
          <w:p>
            <w:pPr>
              <w:spacing w:before="50" w:after="50"/>
              <w:jc w:val="center"/>
            </w:pPr>
            <w:r>
              <w:rPr>
                <w:rFonts w:ascii="Times New Roman" w:hAnsi="Times New Roman"/>
                <w:b/>
                <w:sz w:val="16"/>
              </w:rPr>
              <w:t>93.12%</w:t>
            </w:r>
          </w:p>
        </w:tc>
        <w:tc>
          <w:tcPr>
            <w:tcW w:type="dxa" w:w="893"/>
            <w:tcMar>
              <w:top w:w="40" w:type="dxa"/>
              <w:bottom w:w="40" w:type="dxa"/>
              <w:left w:w="50" w:type="dxa"/>
              <w:right w:w="50" w:type="dxa"/>
            </w:tcMar>
            <w:shd w:val="clear" w:color="auto" w:fill="EDE9FE"/>
          </w:tcPr>
          <w:p>
            <w:pPr>
              <w:spacing w:before="50" w:after="50"/>
              <w:jc w:val="center"/>
            </w:pPr>
            <w:r>
              <w:rPr>
                <w:rFonts w:ascii="Times New Roman" w:hAnsi="Times New Roman"/>
                <w:b/>
                <w:sz w:val="16"/>
              </w:rPr>
              <w:t>9.8 GB</w:t>
            </w:r>
          </w:p>
        </w:tc>
      </w:tr>
      <w:tr>
        <w:trPr>
          <w:cantSplit/>
        </w:trPr>
        <w:tc>
          <w:tcPr>
            <w:tcW w:type="dxa" w:w="2218"/>
            <w:tcMar>
              <w:top w:w="40" w:type="dxa"/>
              <w:bottom w:w="40" w:type="dxa"/>
              <w:left w:w="50" w:type="dxa"/>
              <w:right w:w="50" w:type="dxa"/>
            </w:tcMar>
            <w:shd w:val="clear" w:color="auto" w:fill="EDE9FE"/>
          </w:tcPr>
          <w:p>
            <w:pPr>
              <w:spacing w:before="50" w:after="50"/>
              <w:jc w:val="left"/>
            </w:pPr>
            <w:r>
              <w:rPr>
                <w:rFonts w:ascii="Times New Roman" w:hAnsi="Times New Roman"/>
                <w:b/>
                <w:sz w:val="16"/>
              </w:rPr>
              <w:t>RoBERTa (Proposed: L=128, η=2e-5)</w:t>
            </w:r>
          </w:p>
        </w:tc>
        <w:tc>
          <w:tcPr>
            <w:tcW w:type="dxa" w:w="893"/>
            <w:tcMar>
              <w:top w:w="40" w:type="dxa"/>
              <w:bottom w:w="40" w:type="dxa"/>
              <w:left w:w="50" w:type="dxa"/>
              <w:right w:w="50" w:type="dxa"/>
            </w:tcMar>
            <w:shd w:val="clear" w:color="auto" w:fill="EDE9FE"/>
          </w:tcPr>
          <w:p>
            <w:pPr>
              <w:spacing w:before="50" w:after="50"/>
              <w:jc w:val="center"/>
            </w:pPr>
            <w:r>
              <w:rPr>
                <w:rFonts w:ascii="Times New Roman" w:hAnsi="Times New Roman"/>
                <w:b/>
                <w:sz w:val="16"/>
              </w:rPr>
              <w:t>96.20%</w:t>
            </w:r>
          </w:p>
        </w:tc>
        <w:tc>
          <w:tcPr>
            <w:tcW w:type="dxa" w:w="893"/>
            <w:tcMar>
              <w:top w:w="40" w:type="dxa"/>
              <w:bottom w:w="40" w:type="dxa"/>
              <w:left w:w="50" w:type="dxa"/>
              <w:right w:w="50" w:type="dxa"/>
            </w:tcMar>
            <w:shd w:val="clear" w:color="auto" w:fill="EDE9FE"/>
          </w:tcPr>
          <w:p>
            <w:pPr>
              <w:spacing w:before="50" w:after="50"/>
              <w:jc w:val="center"/>
            </w:pPr>
            <w:r>
              <w:rPr>
                <w:rFonts w:ascii="Times New Roman" w:hAnsi="Times New Roman"/>
                <w:b/>
                <w:sz w:val="16"/>
              </w:rPr>
              <w:t>96.20%</w:t>
            </w:r>
          </w:p>
        </w:tc>
        <w:tc>
          <w:tcPr>
            <w:tcW w:type="dxa" w:w="893"/>
            <w:tcMar>
              <w:top w:w="40" w:type="dxa"/>
              <w:bottom w:w="40" w:type="dxa"/>
              <w:left w:w="50" w:type="dxa"/>
              <w:right w:w="50" w:type="dxa"/>
            </w:tcMar>
            <w:shd w:val="clear" w:color="auto" w:fill="EDE9FE"/>
          </w:tcPr>
          <w:p>
            <w:pPr>
              <w:spacing w:before="50" w:after="50"/>
              <w:jc w:val="center"/>
            </w:pPr>
            <w:r>
              <w:rPr>
                <w:rFonts w:ascii="Times New Roman" w:hAnsi="Times New Roman"/>
                <w:b/>
                <w:sz w:val="16"/>
              </w:rPr>
              <w:t>5.6 GB</w:t>
            </w:r>
          </w:p>
        </w:tc>
      </w:tr>
    </w:tbl>
    <w:p>
      <w:pPr>
        <w:spacing w:before="0" w:after="80"/>
      </w:pPr>
    </w:p>
    <w:p>
      <w:pPr>
        <w:spacing w:before="0" w:after="70" w:line="240" w:lineRule="auto"/>
        <w:jc w:val="both"/>
      </w:pPr>
      <w:r>
        <w:rPr>
          <w:rFonts w:ascii="Times New Roman" w:hAnsi="Times New Roman"/>
          <w:sz w:val="20"/>
        </w:rPr>
        <w:t>The ablation results in Table V reveal that truncating sequences to L = 64 tokens induces a performance drop due to the loss of trailing discourse context. Expanding the sequence limit to L = 256 yields negligible performance difference while nearly doubling GPU VRAM allocation from 5.6 GB to 9.8 GB and increasing latency. Thus, L = 128 tokens paired with eta = 2e-5 represents the pareto-optimal operational trade-off between computational overhead and classification accuracy.</w:t>
      </w:r>
    </w:p>
    <w:p>
      <w:pPr>
        <w:keepNext/>
        <w:spacing w:before="240" w:after="80"/>
        <w:jc w:val="center"/>
      </w:pPr>
      <w:r>
        <w:rPr>
          <w:rFonts w:ascii="Times New Roman" w:hAnsi="Times New Roman"/>
          <w:b/>
          <w:sz w:val="20"/>
        </w:rPr>
        <w:t>IX. THREATS TO VALIDITY &amp; SYSTEMIC LIMITATIONS</w:t>
      </w:r>
    </w:p>
    <w:p>
      <w:pPr>
        <w:spacing w:before="0" w:after="70" w:line="240" w:lineRule="auto"/>
        <w:jc w:val="both"/>
      </w:pPr>
      <w:r>
        <w:rPr>
          <w:rFonts w:ascii="Times New Roman" w:hAnsi="Times New Roman"/>
          <w:sz w:val="20"/>
        </w:rPr>
        <w:t>Despite achieving state-of-the-art benchmark accuracy and seamless browser integration, practical deployments face three operational considerations:</w:t>
        <w:br/>
        <w:t>1) Domain Shift &amp; Cross-Category Generalization: The model was evaluated on consumer product reviews spanning electronics, apparel, and home goods. When transferred to specialized vertical markets (such as medical products or legal services), specialized nomenclature may reduce detection accuracy unless few-shot domain adaptation is performed.</w:t>
        <w:br/>
        <w:t>2) Local Host Server Dependency: The browser extension connects to a local inference host (127.0.0.1:5000) running PyTorch. While ensuring absolute user privacy, future iterations can compile quantized ONNX / WebAssembly runtimes directly inside the browser extension to eliminate background server prerequisites.</w:t>
        <w:br/>
        <w:t>3) Co-Evolution of Generative Language Models: As adversaries deploy newer generative models (e.g., GPT-4, Claude, or LLaMA-3) fine-tuned with human-in-the-loop reward feedback, continuous model retraining and active learning pipelines will be essential to preserve high detection sensitivity.</w:t>
      </w:r>
    </w:p>
    <w:p>
      <w:pPr>
        <w:keepNext/>
        <w:spacing w:before="240" w:after="80"/>
        <w:jc w:val="center"/>
      </w:pPr>
      <w:r>
        <w:rPr>
          <w:rFonts w:ascii="Times New Roman" w:hAnsi="Times New Roman"/>
          <w:b/>
          <w:sz w:val="20"/>
        </w:rPr>
        <w:t>X. CONCLUSION &amp; FUTURE WORK</w:t>
      </w:r>
    </w:p>
    <w:p>
      <w:pPr>
        <w:spacing w:before="0" w:after="70" w:line="240" w:lineRule="auto"/>
        <w:jc w:val="both"/>
      </w:pPr>
      <w:r>
        <w:rPr>
          <w:rFonts w:ascii="Times New Roman" w:hAnsi="Times New Roman"/>
          <w:sz w:val="20"/>
        </w:rPr>
        <w:t>This research presented an end-to-end deep contextual NLP framework and browser extension architecture for automated deceptive opinion spam detection. By leveraging byte-level BPE subword tokenization, multi-head bidirectional self-attention across 12 transformer encoder blocks, and dynamic masked pre-training foundations, RoBERTa models both local stylistic cues and global semantic coherence. Experimental evaluations across benchmark reviews demonstrated that RoBERTa-Base achieves a state-of-the-art Test Accuracy of 96.20% and a Macro F1-score of 96.20%, outperforming classical Naive Bayes, Linear SVM, Logistic Regression, recurrent BiLSTMs, and baseline BERT.</w:t>
        <w:br/>
        <w:br/>
        <w:t>Furthermore, the developed Google Chrome Manifest V3 extension ('Review Scanner - RoBERTa Edition') bridges theoretical machine learning research with practical consumer utility. By executing dynamic DOM extraction, asynchronous local inference bridging, soft Neumorphic dashboard telemetry, and in-situ color-coded pill badging on live shopping pages, our system empowers online shoppers to distinguish genuine human testimonials from synthetic opinion spam in real time without sacrificing browsing speed or privacy.</w:t>
      </w:r>
    </w:p>
    <w:p>
      <w:pPr>
        <w:keepNext/>
        <w:spacing w:before="240" w:after="80"/>
        <w:jc w:val="center"/>
      </w:pPr>
      <w:r>
        <w:rPr>
          <w:rFonts w:ascii="Times New Roman" w:hAnsi="Times New Roman"/>
          <w:b/>
          <w:sz w:val="20"/>
        </w:rPr>
        <w:t>ACKNOWLEDGMENT</w:t>
      </w:r>
    </w:p>
    <w:p>
      <w:pPr>
        <w:spacing w:before="0" w:after="70" w:line="240" w:lineRule="auto"/>
        <w:jc w:val="both"/>
      </w:pPr>
      <w:r>
        <w:rPr>
          <w:rFonts w:ascii="Times New Roman" w:hAnsi="Times New Roman"/>
          <w:sz w:val="20"/>
        </w:rPr>
        <w:t>The authors would like to express their sincere gratitude to the faculty members and laboratory staff of the Department of Electronics and Computer Science at Vidyalankar Institute of Technology, Mumbai, India, for their invaluable academic guidance, infrastructural support, and computing resources throughout the design and benchmarking of this research project.</w:t>
      </w:r>
    </w:p>
    <w:p>
      <w:pPr>
        <w:spacing w:before="160" w:after="80"/>
      </w:pPr>
      <w:r>
        <w:rPr>
          <w:rFonts w:ascii="Times New Roman" w:hAnsi="Times New Roman"/>
          <w:i/>
          <w:sz w:val="15"/>
        </w:rPr>
        <w:t>IEEE Conference Paper Notice: Prepared for peer review. Copyright © 2026 IEEE. Personal use of this material is permitted. Permission from IEEE must be obtained for all other uses.</w:t>
      </w:r>
    </w:p>
    <w:p>
      <w:pPr>
        <w:keepNext/>
        <w:spacing w:before="240" w:after="80"/>
        <w:jc w:val="center"/>
      </w:pPr>
      <w:r>
        <w:rPr>
          <w:rFonts w:ascii="Times New Roman" w:hAnsi="Times New Roman"/>
          <w:b/>
          <w:sz w:val="20"/>
        </w:rPr>
        <w:t>REFERENCES</w:t>
      </w:r>
    </w:p>
    <w:p>
      <w:pPr>
        <w:spacing w:before="0" w:after="40"/>
        <w:ind w:left="288" w:hanging="288"/>
        <w:jc w:val="both"/>
      </w:pPr>
      <w:r>
        <w:rPr>
          <w:rFonts w:ascii="Times New Roman" w:hAnsi="Times New Roman"/>
          <w:sz w:val="16"/>
        </w:rPr>
        <w:t>[1] N. Jindal and B. Liu, "Opinion spam and analysis," in Proc. 17th Int. Conf. World Wide Web (WWW '08), Beijing, China, 2008, pp. 219-230.</w:t>
      </w:r>
    </w:p>
    <w:p>
      <w:pPr>
        <w:spacing w:before="0" w:after="40"/>
        <w:ind w:left="288" w:hanging="288"/>
        <w:jc w:val="both"/>
      </w:pPr>
      <w:r>
        <w:rPr>
          <w:rFonts w:ascii="Times New Roman" w:hAnsi="Times New Roman"/>
          <w:sz w:val="16"/>
        </w:rPr>
        <w:t>[2] M. Ott, Y. Choi, C. Cardie, and J. T. Hancock, "Finding deceptive opinion spam by any stretch of the imagination," in Proc. 49th Annu. Meeting Assoc. Comput. Linguistics: Human Lang. Technol. (ACL '11), Portland, OR, 2011, pp. 309-319.</w:t>
      </w:r>
    </w:p>
    <w:p>
      <w:pPr>
        <w:spacing w:before="0" w:after="40"/>
        <w:ind w:left="288" w:hanging="288"/>
        <w:jc w:val="both"/>
      </w:pPr>
      <w:r>
        <w:rPr>
          <w:rFonts w:ascii="Times New Roman" w:hAnsi="Times New Roman"/>
          <w:sz w:val="16"/>
        </w:rPr>
        <w:t>[3] S. Feng, R. Banerjee, and Y. Choi, "Syntactic stylometry for deception detection," in Proc. 50th Annu. Meeting Assoc. Comput. Linguistics (ACL '12), Jeju Island, Korea, 2012, pp. 171-175.</w:t>
      </w:r>
    </w:p>
    <w:p>
      <w:pPr>
        <w:spacing w:before="0" w:after="40"/>
        <w:ind w:left="288" w:hanging="288"/>
        <w:jc w:val="both"/>
      </w:pPr>
      <w:r>
        <w:rPr>
          <w:rFonts w:ascii="Times New Roman" w:hAnsi="Times New Roman"/>
          <w:sz w:val="16"/>
        </w:rPr>
        <w:t>[4] Y. Liu, M. Ott, N. Goyal, J. Du, M. Joshi, D. Chen, O. Levy, M. Lewis, L. Zettlemoyer, and V. Stoyanov, "RoBERTa: A robustly optimized BERT pretraining approach," arXiv preprint arXiv:1907.11692, 2019.</w:t>
      </w:r>
    </w:p>
    <w:p>
      <w:pPr>
        <w:spacing w:before="0" w:after="40"/>
        <w:ind w:left="288" w:hanging="288"/>
        <w:jc w:val="both"/>
      </w:pPr>
      <w:r>
        <w:rPr>
          <w:rFonts w:ascii="Times New Roman" w:hAnsi="Times New Roman"/>
          <w:sz w:val="16"/>
        </w:rPr>
        <w:t>[5] Z. Wang, S. Zheng, and G. Cong, "A recurrent neural network approach for fake review detection," in Proc. IEEE Int. Conf. Big Data (Big Data '18), Seattle, WA, 2018, pp. 2451-2458.</w:t>
      </w:r>
    </w:p>
    <w:p>
      <w:pPr>
        <w:spacing w:before="0" w:after="40"/>
        <w:ind w:left="288" w:hanging="288"/>
        <w:jc w:val="both"/>
      </w:pPr>
      <w:r>
        <w:rPr>
          <w:rFonts w:ascii="Times New Roman" w:hAnsi="Times New Roman"/>
          <w:sz w:val="16"/>
        </w:rPr>
        <w:t>[6] J. Devlin, M.-W. Chang, K. Lee, and K. Toutanova, "BERT: Pre-training of deep bidirectional transformers for language understanding," in Proc. NAACL-HLT '19, Minneapolis, MN, 2019, pp. 4171-4186.</w:t>
      </w:r>
    </w:p>
    <w:p>
      <w:pPr>
        <w:spacing w:before="0" w:after="40"/>
        <w:ind w:left="288" w:hanging="288"/>
        <w:jc w:val="both"/>
      </w:pPr>
      <w:r>
        <w:rPr>
          <w:rFonts w:ascii="Times New Roman" w:hAnsi="Times New Roman"/>
          <w:sz w:val="16"/>
        </w:rPr>
        <w:t>[7] J. Salminen, C. Kandpal, A. M. Kamel, S. Jung, and B. J. Jansen, "Creating and detecting fake reviews of extreme positive sentiment using GPT-2," in Proc. 24th Int. Conf. Human-Computer Interaction (HCII '22), Cham, Switzerland: Springer, 2022, pp. 367-380.</w:t>
      </w:r>
    </w:p>
    <w:p>
      <w:pPr>
        <w:spacing w:before="0" w:after="40"/>
        <w:ind w:left="288" w:hanging="288"/>
        <w:jc w:val="both"/>
      </w:pPr>
      <w:r>
        <w:rPr>
          <w:rFonts w:ascii="Times New Roman" w:hAnsi="Times New Roman"/>
          <w:sz w:val="16"/>
        </w:rPr>
        <w:t>[8] A. Vaswani, N. Shazeer, N. Parmar, J. Uszkoreit, L. Jones, A. N. Gomez, L. Kaiser, and I. Polosukhin, "Attention is all you need," in Advances in Neural Information Processing Systems (NeurIPS '17), vol. 30, 2017, pp. 5998-6008.</w:t>
      </w:r>
    </w:p>
    <w:p>
      <w:pPr>
        <w:spacing w:before="0" w:after="40"/>
        <w:ind w:left="288" w:hanging="288"/>
        <w:jc w:val="both"/>
      </w:pPr>
      <w:r>
        <w:rPr>
          <w:rFonts w:ascii="Times New Roman" w:hAnsi="Times New Roman"/>
          <w:sz w:val="16"/>
        </w:rPr>
        <w:t>[9] D. Hendrycks and K. Gimpel, "Gaussian error linear units (GELUs)," arXiv preprint arXiv:1606.08415, 2016.</w:t>
      </w:r>
    </w:p>
    <w:p>
      <w:pPr>
        <w:spacing w:before="0" w:after="40"/>
        <w:ind w:left="288" w:hanging="288"/>
        <w:jc w:val="both"/>
      </w:pPr>
      <w:r>
        <w:rPr>
          <w:rFonts w:ascii="Times New Roman" w:hAnsi="Times New Roman"/>
          <w:sz w:val="16"/>
        </w:rPr>
        <w:t>[10] I. Loshchilov and F. Hutter, "Decoupled weight decay regularization," in Proc. 7th Int. Conf. Learn. Representations (ICLR '19), New Orleans, LA, 2019.</w:t>
      </w:r>
    </w:p>
    <w:p>
      <w:pPr>
        <w:spacing w:before="0" w:after="40"/>
        <w:ind w:left="288" w:hanging="288"/>
        <w:jc w:val="both"/>
      </w:pPr>
      <w:r>
        <w:rPr>
          <w:rFonts w:ascii="Times New Roman" w:hAnsi="Times New Roman"/>
          <w:sz w:val="16"/>
        </w:rPr>
        <w:t>[11] A. Mukherjee, V. Venkataraman, B. Liu, and N. Glance, "What yelp fake review filter might be doing?" in Proc. 7th Int. AAAI Conf. Weblogs and Social Media (ICWSM '13), Cambridge, MA, 2013, pp. 409-418.</w:t>
      </w:r>
    </w:p>
    <w:p>
      <w:pPr>
        <w:spacing w:before="0" w:after="40"/>
        <w:ind w:left="288" w:hanging="288"/>
        <w:jc w:val="both"/>
      </w:pPr>
      <w:r>
        <w:rPr>
          <w:rFonts w:ascii="Times New Roman" w:hAnsi="Times New Roman"/>
          <w:sz w:val="16"/>
        </w:rPr>
        <w:t>[12] T. Brown, B. Mann, N. Ryder, M. Subbiah, J. Kaplan, P. Dhariwal, et al., "Language models are few-shot learners," in Advances in Neural Information Processing Systems (NeurIPS '20), vol. 33, 2020, pp. 1877-1901.</w:t>
      </w:r>
    </w:p>
    <w:p>
      <w:pPr>
        <w:spacing w:before="0" w:after="40"/>
        <w:ind w:left="288" w:hanging="288"/>
        <w:jc w:val="both"/>
      </w:pPr>
      <w:r>
        <w:rPr>
          <w:rFonts w:ascii="Times New Roman" w:hAnsi="Times New Roman"/>
          <w:sz w:val="16"/>
        </w:rPr>
        <w:t>[13] V. Sanh, L. Debut, J. Chaumond, and T. Wolf, "DistilBERT, a distilled version of BERT: Smaller, faster, cheaper and lighter," arXiv preprint arXiv:1910.01108, 2019.</w:t>
      </w:r>
    </w:p>
    <w:p>
      <w:pPr>
        <w:spacing w:before="0" w:after="40"/>
        <w:ind w:left="288" w:hanging="288"/>
        <w:jc w:val="both"/>
      </w:pPr>
      <w:r>
        <w:rPr>
          <w:rFonts w:ascii="Times New Roman" w:hAnsi="Times New Roman"/>
          <w:sz w:val="16"/>
        </w:rPr>
        <w:t>[14] Google Chrome Developers, "Welcome to Manifest V3," Chrome Extensions Documentation, 2024. [Online]. Available: https://developer.chrome.com/docs/extensions/mv3/intro/</w:t>
      </w:r>
    </w:p>
    <w:p>
      <w:pPr>
        <w:spacing w:before="0" w:after="40"/>
        <w:ind w:left="288" w:hanging="288"/>
        <w:jc w:val="both"/>
      </w:pPr>
      <w:r>
        <w:rPr>
          <w:rFonts w:ascii="Times New Roman" w:hAnsi="Times New Roman"/>
          <w:sz w:val="16"/>
        </w:rPr>
        <w:t>[15] S. Rayana and L. Akoglu, "Collective opinion spam detection in high-dimensional behavioral spaces," in Proc. 21th ACM SIGKDD Int. Conf. Knowledge Discovery and Data Mining (KDD '15), Sydney, Australia, 2015, pp. 985-994.</w:t>
      </w:r>
    </w:p>
    <w:p>
      <w:pPr>
        <w:spacing w:before="0" w:after="40"/>
        <w:ind w:left="288" w:hanging="288"/>
        <w:jc w:val="both"/>
      </w:pPr>
      <w:r>
        <w:rPr>
          <w:rFonts w:ascii="Times New Roman" w:hAnsi="Times New Roman"/>
          <w:sz w:val="16"/>
        </w:rPr>
        <w:t>[16] V. Patil, "Review Scanner: RoBERTa Transformer Edition Harness," GitHub Repository, 2026. [Online]. Available: https://github.com/VrushanPatil/Project</w:t>
      </w:r>
    </w:p>
    <w:sectPr w:rsidR="00FC693F" w:rsidRPr="0006063C" w:rsidSect="00034616">
      <w:type w:val="continuous"/>
      <w:pgSz w:w="12240" w:h="15840"/>
      <w:pgMar w:top="1080" w:right="907" w:bottom="1440" w:left="907" w:header="720" w:footer="720" w:gutter="0"/>
      <w:cols w:space="3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