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6C816" w14:textId="77777777" w:rsidR="00406539" w:rsidRDefault="00000000">
      <w:pPr>
        <w:spacing w:before="2600"/>
      </w:pPr>
      <w:r>
        <w:rPr>
          <w:b/>
          <w:bCs/>
          <w:color w:val="FF6A00"/>
          <w:spacing w:val="60"/>
          <w:sz w:val="22"/>
          <w:szCs w:val="22"/>
        </w:rPr>
        <w:t>VRUTAL OS</w:t>
      </w:r>
    </w:p>
    <w:p w14:paraId="4B46E702" w14:textId="77777777" w:rsidR="00406539" w:rsidRDefault="00000000">
      <w:pPr>
        <w:spacing w:before="120"/>
      </w:pPr>
      <w:r>
        <w:rPr>
          <w:b/>
          <w:bCs/>
          <w:sz w:val="52"/>
          <w:szCs w:val="52"/>
        </w:rPr>
        <w:t>Modelo Privado de LLM</w:t>
      </w:r>
    </w:p>
    <w:p w14:paraId="7A190AAB" w14:textId="77777777" w:rsidR="00406539" w:rsidRDefault="00000000">
      <w:pPr>
        <w:spacing w:before="60"/>
      </w:pPr>
      <w:r>
        <w:rPr>
          <w:sz w:val="28"/>
          <w:szCs w:val="28"/>
        </w:rPr>
        <w:t>Necesidades y alternativas para clientes</w:t>
      </w:r>
    </w:p>
    <w:p w14:paraId="2DBB453F" w14:textId="77777777" w:rsidR="00406539" w:rsidRDefault="00406539">
      <w:pPr>
        <w:pBdr>
          <w:bottom w:val="single" w:sz="12" w:space="0" w:color="7B4DFF"/>
        </w:pBdr>
        <w:spacing w:before="300"/>
      </w:pPr>
    </w:p>
    <w:p w14:paraId="045C56EF" w14:textId="77777777" w:rsidR="00406539" w:rsidRDefault="00000000">
      <w:pPr>
        <w:spacing w:before="240"/>
      </w:pPr>
      <w:r>
        <w:rPr>
          <w:i/>
          <w:iCs/>
          <w:color w:val="6B6B6B"/>
          <w:sz w:val="20"/>
          <w:szCs w:val="20"/>
        </w:rPr>
        <w:t>Documento vivo · v0.1 — criterios y opciones</w:t>
      </w:r>
    </w:p>
    <w:p w14:paraId="657FC884" w14:textId="77777777" w:rsidR="00406539" w:rsidRDefault="00000000">
      <w:pPr>
        <w:spacing w:before="40"/>
      </w:pPr>
      <w:r>
        <w:rPr>
          <w:color w:val="6B6B6B"/>
          <w:sz w:val="20"/>
          <w:szCs w:val="20"/>
        </w:rPr>
        <w:t xml:space="preserve">Relacionado: LAB 08 · </w:t>
      </w:r>
      <w:proofErr w:type="spellStart"/>
      <w:r>
        <w:rPr>
          <w:color w:val="6B6B6B"/>
          <w:sz w:val="20"/>
          <w:szCs w:val="20"/>
        </w:rPr>
        <w:t>Platform</w:t>
      </w:r>
      <w:proofErr w:type="spellEnd"/>
      <w:r>
        <w:rPr>
          <w:color w:val="6B6B6B"/>
          <w:sz w:val="20"/>
          <w:szCs w:val="20"/>
        </w:rPr>
        <w:t xml:space="preserve"> · Cap. 11 — LAB 13 · </w:t>
      </w:r>
      <w:proofErr w:type="spellStart"/>
      <w:r>
        <w:rPr>
          <w:color w:val="6B6B6B"/>
          <w:sz w:val="20"/>
          <w:szCs w:val="20"/>
        </w:rPr>
        <w:t>Finance</w:t>
      </w:r>
      <w:proofErr w:type="spellEnd"/>
      <w:r>
        <w:rPr>
          <w:color w:val="6B6B6B"/>
          <w:sz w:val="20"/>
          <w:szCs w:val="20"/>
        </w:rPr>
        <w:t xml:space="preserve"> — LAB 14 · Legal</w:t>
      </w:r>
    </w:p>
    <w:p w14:paraId="723C6AE8" w14:textId="77777777" w:rsidR="00406539" w:rsidRDefault="00000000">
      <w:pPr>
        <w:spacing w:before="900"/>
      </w:pPr>
      <w:proofErr w:type="spellStart"/>
      <w:r>
        <w:rPr>
          <w:i/>
          <w:iCs/>
          <w:sz w:val="20"/>
          <w:szCs w:val="20"/>
        </w:rPr>
        <w:t>Building</w:t>
      </w:r>
      <w:proofErr w:type="spellEnd"/>
      <w:r>
        <w:rPr>
          <w:i/>
          <w:iCs/>
          <w:sz w:val="20"/>
          <w:szCs w:val="20"/>
        </w:rPr>
        <w:t xml:space="preserve"> </w:t>
      </w:r>
      <w:proofErr w:type="spellStart"/>
      <w:r>
        <w:rPr>
          <w:i/>
          <w:iCs/>
          <w:sz w:val="20"/>
          <w:szCs w:val="20"/>
        </w:rPr>
        <w:t>Intelligent</w:t>
      </w:r>
      <w:proofErr w:type="spellEnd"/>
      <w:r>
        <w:rPr>
          <w:i/>
          <w:iCs/>
          <w:sz w:val="20"/>
          <w:szCs w:val="20"/>
        </w:rPr>
        <w:t xml:space="preserve"> </w:t>
      </w:r>
      <w:proofErr w:type="spellStart"/>
      <w:r>
        <w:rPr>
          <w:i/>
          <w:iCs/>
          <w:sz w:val="20"/>
          <w:szCs w:val="20"/>
        </w:rPr>
        <w:t>Companies</w:t>
      </w:r>
      <w:proofErr w:type="spellEnd"/>
      <w:r>
        <w:rPr>
          <w:i/>
          <w:iCs/>
          <w:sz w:val="20"/>
          <w:szCs w:val="20"/>
        </w:rPr>
        <w:t>.</w:t>
      </w:r>
    </w:p>
    <w:p w14:paraId="12DE4942" w14:textId="77777777" w:rsidR="00406539" w:rsidRDefault="00000000">
      <w:r>
        <w:br w:type="page"/>
      </w:r>
    </w:p>
    <w:p w14:paraId="74AD2FEE" w14:textId="77777777" w:rsidR="00406539" w:rsidRDefault="00000000">
      <w:pPr>
        <w:pStyle w:val="Heading1"/>
        <w:spacing w:before="340" w:after="140"/>
      </w:pPr>
      <w:r>
        <w:rPr>
          <w:b/>
          <w:bCs/>
          <w:color w:val="111111"/>
          <w:sz w:val="30"/>
          <w:szCs w:val="30"/>
        </w:rPr>
        <w:lastRenderedPageBreak/>
        <w:t>1 · Propósito y cuándo aplica</w:t>
      </w:r>
    </w:p>
    <w:p w14:paraId="3314BE30" w14:textId="77777777" w:rsidR="00406539" w:rsidRDefault="00406539">
      <w:pPr>
        <w:pBdr>
          <w:bottom w:val="single" w:sz="8" w:space="0" w:color="FF6A00"/>
        </w:pBdr>
        <w:spacing w:before="80" w:after="160"/>
      </w:pPr>
    </w:p>
    <w:p w14:paraId="3DD113AD" w14:textId="77777777" w:rsidR="00406539" w:rsidRDefault="00000000">
      <w:pPr>
        <w:spacing w:after="140" w:line="276" w:lineRule="auto"/>
      </w:pPr>
      <w:r>
        <w:t xml:space="preserve">Por defecto, los especialistas de </w:t>
      </w:r>
      <w:proofErr w:type="spellStart"/>
      <w:r>
        <w:t>Vrutal</w:t>
      </w:r>
      <w:proofErr w:type="spellEnd"/>
      <w:r>
        <w:t xml:space="preserve"> razonan sobre modelos frontera a través de cuentas creadas a nombre del cliente: el dato de entrada sale hacia el proveedor (</w:t>
      </w:r>
      <w:proofErr w:type="spellStart"/>
      <w:r>
        <w:t>Anthropic</w:t>
      </w:r>
      <w:proofErr w:type="spellEnd"/>
      <w:r>
        <w:t xml:space="preserve">, </w:t>
      </w:r>
      <w:proofErr w:type="spellStart"/>
      <w:r>
        <w:t>OpenAI</w:t>
      </w:r>
      <w:proofErr w:type="spellEnd"/>
      <w:r>
        <w:t xml:space="preserve"> u otros) y el consumo lo paga el cliente en su propia factura. Es la opción más capaz y la de menor barrera de entrada.</w:t>
      </w:r>
    </w:p>
    <w:p w14:paraId="18EC9E54" w14:textId="77777777" w:rsidR="00406539" w:rsidRDefault="00000000">
      <w:pPr>
        <w:spacing w:after="140" w:line="276" w:lineRule="auto"/>
      </w:pPr>
      <w:r>
        <w:t>Un modelo privado —</w:t>
      </w:r>
      <w:proofErr w:type="spellStart"/>
      <w:r>
        <w:t>autoalojado</w:t>
      </w:r>
      <w:proofErr w:type="spellEnd"/>
      <w:r>
        <w:t xml:space="preserve"> en infraestructura controlada— tiene sentido cuando ese envío de dato a un tercero deja de ser aceptable. Este documento fija cuándo aplica, qué requiere y qué alternativas existen, para que la decisión sea informada y no un acto de fe.</w:t>
      </w:r>
    </w:p>
    <w:p w14:paraId="4882C51F" w14:textId="77777777" w:rsidR="00406539" w:rsidRDefault="00000000">
      <w:pPr>
        <w:pStyle w:val="Heading2"/>
        <w:spacing w:before="240" w:after="100"/>
      </w:pPr>
      <w:r>
        <w:rPr>
          <w:b/>
          <w:bCs/>
          <w:color w:val="7B4DFF"/>
          <w:sz w:val="23"/>
          <w:szCs w:val="23"/>
        </w:rPr>
        <w:t>Señales de que un cliente debería considerarlo</w:t>
      </w:r>
    </w:p>
    <w:p w14:paraId="5BD11079" w14:textId="77777777" w:rsidR="00406539" w:rsidRDefault="00000000">
      <w:pPr>
        <w:pStyle w:val="ListParagraph"/>
        <w:numPr>
          <w:ilvl w:val="0"/>
          <w:numId w:val="1"/>
        </w:numPr>
        <w:spacing w:after="90" w:line="270" w:lineRule="auto"/>
      </w:pPr>
      <w:r>
        <w:t>Dato sensible cuyo tratamiento por un proveedor externo no está permitido: salud, datos financieros, información de clientes bajo NDA estricto.</w:t>
      </w:r>
    </w:p>
    <w:p w14:paraId="7E71E678" w14:textId="77777777" w:rsidR="00406539" w:rsidRDefault="00000000">
      <w:pPr>
        <w:pStyle w:val="ListParagraph"/>
        <w:numPr>
          <w:ilvl w:val="0"/>
          <w:numId w:val="1"/>
        </w:numPr>
        <w:spacing w:after="90" w:line="270" w:lineRule="auto"/>
      </w:pPr>
      <w:r>
        <w:t>Requisito regulatorio o contractual de residencia del dato en la UE, o prohibición explícita de transferencia a un proveedor con sede en EE. UU.</w:t>
      </w:r>
    </w:p>
    <w:p w14:paraId="72A374BD" w14:textId="77777777" w:rsidR="00406539" w:rsidRDefault="00000000">
      <w:pPr>
        <w:pStyle w:val="ListParagraph"/>
        <w:numPr>
          <w:ilvl w:val="0"/>
          <w:numId w:val="1"/>
        </w:numPr>
        <w:spacing w:after="90" w:line="270" w:lineRule="auto"/>
      </w:pPr>
      <w:r>
        <w:t>Política interna del cliente de no entregar información a modelos de terceros, con independencia de la garantía contractual.</w:t>
      </w:r>
    </w:p>
    <w:p w14:paraId="03C26D47" w14:textId="77777777" w:rsidR="00406539" w:rsidRDefault="00000000">
      <w:pPr>
        <w:pStyle w:val="ListParagraph"/>
        <w:numPr>
          <w:ilvl w:val="0"/>
          <w:numId w:val="1"/>
        </w:numPr>
        <w:spacing w:after="90" w:line="270" w:lineRule="auto"/>
      </w:pPr>
      <w:r>
        <w:t>Volumen alto y sostenido en roles de bajo/medio riesgo, donde un coste fijo de cómputo propio resulta más predecible que el consumo por token.</w:t>
      </w:r>
    </w:p>
    <w:p w14:paraId="54E6DE96" w14:textId="77777777" w:rsidR="00406539" w:rsidRDefault="00000000">
      <w:pPr>
        <w:spacing w:after="140" w:line="276" w:lineRule="auto"/>
      </w:pPr>
      <w:r>
        <w:rPr>
          <w:i/>
          <w:iCs/>
          <w:color w:val="6B6B6B"/>
        </w:rPr>
        <w:t>Si ninguna de estas señales está presente, la ruta frontera por defecto es la recomendación: mejor calidad, menor coste y sin carga operativa añadida. Un modelo privado que nadie necesita es complejidad sin retorno — y la complejidad es un fallo de diseño.</w:t>
      </w:r>
    </w:p>
    <w:p w14:paraId="37F5F743" w14:textId="77777777" w:rsidR="00406539" w:rsidRDefault="00000000">
      <w:pPr>
        <w:pStyle w:val="Heading1"/>
        <w:spacing w:before="340" w:after="140"/>
      </w:pPr>
      <w:r>
        <w:rPr>
          <w:b/>
          <w:bCs/>
          <w:color w:val="111111"/>
          <w:sz w:val="30"/>
          <w:szCs w:val="30"/>
        </w:rPr>
        <w:t>2 · La privacidad depende del dónde, no del tamaño</w:t>
      </w:r>
    </w:p>
    <w:p w14:paraId="721B85DA" w14:textId="77777777" w:rsidR="00406539" w:rsidRDefault="00406539">
      <w:pPr>
        <w:pBdr>
          <w:bottom w:val="single" w:sz="8" w:space="0" w:color="FF6A00"/>
        </w:pBdr>
        <w:spacing w:before="80" w:after="160"/>
      </w:pPr>
    </w:p>
    <w:p w14:paraId="24EAE519" w14:textId="77777777" w:rsidR="00406539" w:rsidRDefault="00000000">
      <w:pPr>
        <w:spacing w:after="140" w:line="276" w:lineRule="auto"/>
      </w:pPr>
      <w:r>
        <w:t xml:space="preserve">El error más caro en esta conversación es asumir que «privado» exige «el modelo más grande posible». No es así. La privacidad la determina dónde corre el modelo —dentro de la frontera UE de </w:t>
      </w:r>
      <w:proofErr w:type="spellStart"/>
      <w:r>
        <w:t>Vrutal</w:t>
      </w:r>
      <w:proofErr w:type="spellEnd"/>
      <w:r>
        <w:t>, sin que el dato salga— no cuántos parámetros tiene.</w:t>
      </w:r>
    </w:p>
    <w:p w14:paraId="6263AEF2" w14:textId="77777777" w:rsidR="00406539" w:rsidRDefault="00000000">
      <w:pPr>
        <w:spacing w:after="140" w:line="276" w:lineRule="auto"/>
      </w:pPr>
      <w:r>
        <w:t xml:space="preserve">Un modelo open pequeño o mediano, sobre una sola GPU asequible en la UE, cubre la mayoría de necesidades de bajo y medio riesgo de un cliente del ICP con total privacidad. Reservar un modelo de nivel frontera </w:t>
      </w:r>
      <w:proofErr w:type="spellStart"/>
      <w:r>
        <w:t>autoalojado</w:t>
      </w:r>
      <w:proofErr w:type="spellEnd"/>
      <w:r>
        <w:t xml:space="preserve"> es la excepción cara, justificada solo cuando el cliente necesita razonamiento de máxima capacidad y privacidad estricta a la vez — un caso poco frecuente en empresas de menos de 50 empleados.</w:t>
      </w:r>
    </w:p>
    <w:p w14:paraId="253B62F7" w14:textId="77777777" w:rsidR="00406539" w:rsidRDefault="00000000">
      <w:pPr>
        <w:spacing w:after="140" w:line="276" w:lineRule="auto"/>
      </w:pPr>
      <w:r>
        <w:t>El principio de asignación por riesgo de LAB 08, Cap. 11, sigue mandando: el tamaño del modelo se elige por el riesgo del rol, no por prestigio. No se pone una decisión de presupuesto real en un modelo pequeño para ahorrar, ni se enciende un modelo gigante para clasificar leads.</w:t>
      </w:r>
    </w:p>
    <w:p w14:paraId="72506A87" w14:textId="77777777" w:rsidR="00406539" w:rsidRDefault="00000000">
      <w:pPr>
        <w:pStyle w:val="Heading1"/>
        <w:spacing w:before="340" w:after="140"/>
      </w:pPr>
      <w:r>
        <w:rPr>
          <w:b/>
          <w:bCs/>
          <w:color w:val="111111"/>
          <w:sz w:val="30"/>
          <w:szCs w:val="30"/>
        </w:rPr>
        <w:t>3 · Las cuatro alternativas</w:t>
      </w:r>
    </w:p>
    <w:p w14:paraId="1213C437" w14:textId="77777777" w:rsidR="00406539" w:rsidRDefault="00406539">
      <w:pPr>
        <w:pBdr>
          <w:bottom w:val="single" w:sz="8" w:space="0" w:color="FF6A00"/>
        </w:pBdr>
        <w:spacing w:before="80" w:after="160"/>
      </w:pPr>
    </w:p>
    <w:p w14:paraId="1B5B3F89" w14:textId="77777777" w:rsidR="00406539" w:rsidRDefault="00000000">
      <w:pPr>
        <w:spacing w:after="140" w:line="276" w:lineRule="auto"/>
      </w:pPr>
      <w:r>
        <w:t>De menor a mayor privacidad y coste. La elección es una decisión de rama por cliente, tomada en el diseño de su organigrama.</w:t>
      </w:r>
    </w:p>
    <w:p w14:paraId="16A11E2C" w14:textId="77777777" w:rsidR="00406539" w:rsidRDefault="00000000">
      <w:pPr>
        <w:pStyle w:val="Heading2"/>
        <w:spacing w:before="240" w:after="100"/>
      </w:pPr>
      <w:r>
        <w:rPr>
          <w:b/>
          <w:bCs/>
          <w:color w:val="7B4DFF"/>
          <w:sz w:val="23"/>
          <w:szCs w:val="23"/>
        </w:rPr>
        <w:lastRenderedPageBreak/>
        <w:t>Opción A · API frontera (por defecto)</w:t>
      </w:r>
    </w:p>
    <w:p w14:paraId="3E0F48B0" w14:textId="77777777" w:rsidR="00406539" w:rsidRDefault="00000000">
      <w:pPr>
        <w:pStyle w:val="ListParagraph"/>
        <w:numPr>
          <w:ilvl w:val="0"/>
          <w:numId w:val="1"/>
        </w:numPr>
        <w:spacing w:after="90" w:line="270" w:lineRule="auto"/>
      </w:pPr>
      <w:r>
        <w:rPr>
          <w:b/>
          <w:bCs/>
        </w:rPr>
        <w:t xml:space="preserve">Qué es: </w:t>
      </w:r>
      <w:r>
        <w:t xml:space="preserve">los roles corren contra </w:t>
      </w:r>
      <w:proofErr w:type="gramStart"/>
      <w:r>
        <w:t>un modelo frontera</w:t>
      </w:r>
      <w:proofErr w:type="gramEnd"/>
      <w:r>
        <w:t xml:space="preserve"> vía cuenta a nombre del cliente.</w:t>
      </w:r>
    </w:p>
    <w:p w14:paraId="6B646572" w14:textId="77777777" w:rsidR="00406539" w:rsidRDefault="00000000">
      <w:pPr>
        <w:pStyle w:val="ListParagraph"/>
        <w:numPr>
          <w:ilvl w:val="0"/>
          <w:numId w:val="1"/>
        </w:numPr>
        <w:spacing w:after="90" w:line="270" w:lineRule="auto"/>
      </w:pPr>
      <w:r>
        <w:rPr>
          <w:b/>
          <w:bCs/>
        </w:rPr>
        <w:t xml:space="preserve">Privacidad: </w:t>
      </w:r>
      <w:r>
        <w:t>el dato sale hacia el proveedor, bajo sus términos contractuales.</w:t>
      </w:r>
    </w:p>
    <w:p w14:paraId="0594BAA2" w14:textId="77777777" w:rsidR="00406539" w:rsidRDefault="00000000">
      <w:pPr>
        <w:pStyle w:val="ListParagraph"/>
        <w:numPr>
          <w:ilvl w:val="0"/>
          <w:numId w:val="1"/>
        </w:numPr>
        <w:spacing w:after="90" w:line="270" w:lineRule="auto"/>
      </w:pPr>
      <w:r>
        <w:rPr>
          <w:b/>
          <w:bCs/>
        </w:rPr>
        <w:t xml:space="preserve">Coste: </w:t>
      </w:r>
      <w:r>
        <w:t xml:space="preserve">el más bajo; consumo variable que paga y ve el cliente. </w:t>
      </w:r>
      <w:proofErr w:type="spellStart"/>
      <w:r>
        <w:t>Vrutal</w:t>
      </w:r>
      <w:proofErr w:type="spellEnd"/>
      <w:r>
        <w:t xml:space="preserve"> no lo factura.</w:t>
      </w:r>
    </w:p>
    <w:p w14:paraId="35C881D7" w14:textId="77777777" w:rsidR="00406539" w:rsidRDefault="00000000">
      <w:pPr>
        <w:pStyle w:val="ListParagraph"/>
        <w:numPr>
          <w:ilvl w:val="0"/>
          <w:numId w:val="1"/>
        </w:numPr>
        <w:spacing w:after="90" w:line="270" w:lineRule="auto"/>
      </w:pPr>
      <w:proofErr w:type="gramStart"/>
      <w:r>
        <w:rPr>
          <w:b/>
          <w:bCs/>
        </w:rPr>
        <w:t>Cuándo</w:t>
      </w:r>
      <w:proofErr w:type="gramEnd"/>
      <w:r>
        <w:rPr>
          <w:b/>
          <w:bCs/>
        </w:rPr>
        <w:t xml:space="preserve">: </w:t>
      </w:r>
      <w:r>
        <w:t>no hay restricción de dato y se busca máxima capacidad al mínimo coste.</w:t>
      </w:r>
    </w:p>
    <w:p w14:paraId="6829D64A" w14:textId="77777777" w:rsidR="00406539" w:rsidRDefault="00000000">
      <w:pPr>
        <w:pStyle w:val="Heading2"/>
        <w:spacing w:before="240" w:after="100"/>
      </w:pPr>
      <w:r>
        <w:rPr>
          <w:b/>
          <w:bCs/>
          <w:color w:val="7B4DFF"/>
          <w:sz w:val="23"/>
          <w:szCs w:val="23"/>
        </w:rPr>
        <w:t xml:space="preserve">Opción B · Modelo open compartido en infra </w:t>
      </w:r>
      <w:proofErr w:type="spellStart"/>
      <w:r>
        <w:rPr>
          <w:b/>
          <w:bCs/>
          <w:color w:val="7B4DFF"/>
          <w:sz w:val="23"/>
          <w:szCs w:val="23"/>
        </w:rPr>
        <w:t>Vrutal</w:t>
      </w:r>
      <w:proofErr w:type="spellEnd"/>
      <w:r>
        <w:rPr>
          <w:b/>
          <w:bCs/>
          <w:color w:val="7B4DFF"/>
          <w:sz w:val="23"/>
          <w:szCs w:val="23"/>
        </w:rPr>
        <w:t xml:space="preserve"> (UE)</w:t>
      </w:r>
    </w:p>
    <w:p w14:paraId="280ED623" w14:textId="77777777" w:rsidR="00406539" w:rsidRDefault="00000000">
      <w:pPr>
        <w:pStyle w:val="ListParagraph"/>
        <w:numPr>
          <w:ilvl w:val="0"/>
          <w:numId w:val="1"/>
        </w:numPr>
        <w:spacing w:after="90" w:line="270" w:lineRule="auto"/>
      </w:pPr>
      <w:r>
        <w:rPr>
          <w:b/>
          <w:bCs/>
        </w:rPr>
        <w:t xml:space="preserve">Qué es: </w:t>
      </w:r>
      <w:r>
        <w:t xml:space="preserve">un modelo open pequeño/mediano </w:t>
      </w:r>
      <w:proofErr w:type="spellStart"/>
      <w:r>
        <w:t>autoalojado</w:t>
      </w:r>
      <w:proofErr w:type="spellEnd"/>
      <w:r>
        <w:t>, compartido entre varios clientes, con aislamiento por cliente y sin registro cruzado.</w:t>
      </w:r>
    </w:p>
    <w:p w14:paraId="5C39BCDA" w14:textId="77777777" w:rsidR="00406539" w:rsidRDefault="00000000">
      <w:pPr>
        <w:pStyle w:val="ListParagraph"/>
        <w:numPr>
          <w:ilvl w:val="0"/>
          <w:numId w:val="1"/>
        </w:numPr>
        <w:spacing w:after="90" w:line="270" w:lineRule="auto"/>
      </w:pPr>
      <w:r>
        <w:rPr>
          <w:b/>
          <w:bCs/>
        </w:rPr>
        <w:t xml:space="preserve">Privacidad: </w:t>
      </w:r>
      <w:r>
        <w:t xml:space="preserve">el dato no sale de la frontera UE de </w:t>
      </w:r>
      <w:proofErr w:type="spellStart"/>
      <w:r>
        <w:t>Vrutal</w:t>
      </w:r>
      <w:proofErr w:type="spellEnd"/>
      <w:r>
        <w:t>. La personalización por cliente vive en la capa RAG (</w:t>
      </w:r>
      <w:proofErr w:type="spellStart"/>
      <w:r>
        <w:t>Qdrant</w:t>
      </w:r>
      <w:proofErr w:type="spellEnd"/>
      <w:r>
        <w:t>), no en los pesos.</w:t>
      </w:r>
    </w:p>
    <w:p w14:paraId="2E0EE39E" w14:textId="77777777" w:rsidR="00406539" w:rsidRDefault="00000000">
      <w:pPr>
        <w:pStyle w:val="ListParagraph"/>
        <w:numPr>
          <w:ilvl w:val="0"/>
          <w:numId w:val="1"/>
        </w:numPr>
        <w:spacing w:after="90" w:line="270" w:lineRule="auto"/>
      </w:pPr>
      <w:r>
        <w:rPr>
          <w:b/>
          <w:bCs/>
        </w:rPr>
        <w:t xml:space="preserve">Coste: </w:t>
      </w:r>
      <w:r>
        <w:t>bajo; el coste fijo de la GPU se reparte entre los clientes que la comparten.</w:t>
      </w:r>
    </w:p>
    <w:p w14:paraId="0C3EF7DF" w14:textId="77777777" w:rsidR="00406539" w:rsidRDefault="00000000">
      <w:pPr>
        <w:pStyle w:val="ListParagraph"/>
        <w:numPr>
          <w:ilvl w:val="0"/>
          <w:numId w:val="1"/>
        </w:numPr>
        <w:spacing w:after="90" w:line="270" w:lineRule="auto"/>
      </w:pPr>
      <w:proofErr w:type="gramStart"/>
      <w:r>
        <w:rPr>
          <w:b/>
          <w:bCs/>
        </w:rPr>
        <w:t>Cuándo</w:t>
      </w:r>
      <w:proofErr w:type="gramEnd"/>
      <w:r>
        <w:rPr>
          <w:b/>
          <w:bCs/>
        </w:rPr>
        <w:t xml:space="preserve">: </w:t>
      </w:r>
      <w:r>
        <w:t>roles de bajo/medio riesgo que exigen privacidad sin coste elevado. Es la opción privada por defecto.</w:t>
      </w:r>
    </w:p>
    <w:p w14:paraId="66B7E6D3" w14:textId="77777777" w:rsidR="00406539" w:rsidRDefault="00000000">
      <w:pPr>
        <w:pStyle w:val="Heading2"/>
        <w:spacing w:before="240" w:after="100"/>
      </w:pPr>
      <w:r>
        <w:rPr>
          <w:b/>
          <w:bCs/>
          <w:color w:val="7B4DFF"/>
          <w:sz w:val="23"/>
          <w:szCs w:val="23"/>
        </w:rPr>
        <w:t>Opción C · Modelo open dedicado (GPU dedicada, UE)</w:t>
      </w:r>
    </w:p>
    <w:p w14:paraId="381F0B10" w14:textId="77777777" w:rsidR="00406539" w:rsidRDefault="00000000">
      <w:pPr>
        <w:pStyle w:val="ListParagraph"/>
        <w:numPr>
          <w:ilvl w:val="0"/>
          <w:numId w:val="1"/>
        </w:numPr>
        <w:spacing w:after="90" w:line="270" w:lineRule="auto"/>
      </w:pPr>
      <w:r>
        <w:rPr>
          <w:b/>
          <w:bCs/>
        </w:rPr>
        <w:t xml:space="preserve">Qué es: </w:t>
      </w:r>
      <w:r>
        <w:t>una GPU dedicada a un solo cliente, con un modelo mediano o grande, opcionalmente con fine-</w:t>
      </w:r>
      <w:proofErr w:type="spellStart"/>
      <w:r>
        <w:t>tuning</w:t>
      </w:r>
      <w:proofErr w:type="spellEnd"/>
      <w:r>
        <w:t xml:space="preserve"> sobre pesos propios del cliente.</w:t>
      </w:r>
    </w:p>
    <w:p w14:paraId="19F8398F" w14:textId="77777777" w:rsidR="00406539" w:rsidRDefault="00000000">
      <w:pPr>
        <w:pStyle w:val="ListParagraph"/>
        <w:numPr>
          <w:ilvl w:val="0"/>
          <w:numId w:val="1"/>
        </w:numPr>
        <w:spacing w:after="90" w:line="270" w:lineRule="auto"/>
      </w:pPr>
      <w:r>
        <w:rPr>
          <w:b/>
          <w:bCs/>
        </w:rPr>
        <w:t xml:space="preserve">Privacidad: </w:t>
      </w:r>
      <w:r>
        <w:t>aislamiento total; ningún otro cliente comparte el cómputo.</w:t>
      </w:r>
    </w:p>
    <w:p w14:paraId="62C4E722" w14:textId="77777777" w:rsidR="00406539" w:rsidRDefault="00000000">
      <w:pPr>
        <w:pStyle w:val="ListParagraph"/>
        <w:numPr>
          <w:ilvl w:val="0"/>
          <w:numId w:val="1"/>
        </w:numPr>
        <w:spacing w:after="90" w:line="270" w:lineRule="auto"/>
      </w:pPr>
      <w:r>
        <w:rPr>
          <w:b/>
          <w:bCs/>
        </w:rPr>
        <w:t xml:space="preserve">Coste: </w:t>
      </w:r>
      <w:r>
        <w:t>premium; el coste íntegro de la GPU y su operación lo asume ese cliente.</w:t>
      </w:r>
    </w:p>
    <w:p w14:paraId="36E3E86E" w14:textId="77777777" w:rsidR="00406539" w:rsidRDefault="00000000">
      <w:pPr>
        <w:pStyle w:val="ListParagraph"/>
        <w:numPr>
          <w:ilvl w:val="0"/>
          <w:numId w:val="1"/>
        </w:numPr>
        <w:spacing w:after="90" w:line="270" w:lineRule="auto"/>
      </w:pPr>
      <w:proofErr w:type="gramStart"/>
      <w:r>
        <w:rPr>
          <w:b/>
          <w:bCs/>
        </w:rPr>
        <w:t>Cuándo</w:t>
      </w:r>
      <w:proofErr w:type="gramEnd"/>
      <w:r>
        <w:rPr>
          <w:b/>
          <w:bCs/>
        </w:rPr>
        <w:t xml:space="preserve">: </w:t>
      </w:r>
      <w:r>
        <w:t>aislamiento estricto, volumen que amortiza una GPU propia, o necesidad de un modelo afinado exclusivo.</w:t>
      </w:r>
    </w:p>
    <w:p w14:paraId="60589F12" w14:textId="77777777" w:rsidR="00406539" w:rsidRDefault="00000000">
      <w:pPr>
        <w:pStyle w:val="Heading2"/>
        <w:spacing w:before="240" w:after="100"/>
      </w:pPr>
      <w:r>
        <w:rPr>
          <w:b/>
          <w:bCs/>
          <w:color w:val="7B4DFF"/>
          <w:sz w:val="23"/>
          <w:szCs w:val="23"/>
        </w:rPr>
        <w:t xml:space="preserve">Opción D · Cliente </w:t>
      </w:r>
      <w:proofErr w:type="spellStart"/>
      <w:r>
        <w:rPr>
          <w:b/>
          <w:bCs/>
          <w:color w:val="7B4DFF"/>
          <w:sz w:val="23"/>
          <w:szCs w:val="23"/>
        </w:rPr>
        <w:t>autoaloja</w:t>
      </w:r>
      <w:proofErr w:type="spellEnd"/>
      <w:r>
        <w:rPr>
          <w:b/>
          <w:bCs/>
          <w:color w:val="7B4DFF"/>
          <w:sz w:val="23"/>
          <w:szCs w:val="23"/>
        </w:rPr>
        <w:t xml:space="preserve"> íntegramente</w:t>
      </w:r>
    </w:p>
    <w:p w14:paraId="42DB70F2" w14:textId="77777777" w:rsidR="00406539" w:rsidRDefault="00000000">
      <w:pPr>
        <w:pStyle w:val="ListParagraph"/>
        <w:numPr>
          <w:ilvl w:val="0"/>
          <w:numId w:val="1"/>
        </w:numPr>
        <w:spacing w:after="90" w:line="270" w:lineRule="auto"/>
      </w:pPr>
      <w:r>
        <w:rPr>
          <w:b/>
          <w:bCs/>
        </w:rPr>
        <w:t xml:space="preserve">Qué es: </w:t>
      </w:r>
      <w:r>
        <w:t xml:space="preserve">el modelo corre en infraestructura propia del cliente; </w:t>
      </w:r>
      <w:proofErr w:type="spellStart"/>
      <w:r>
        <w:t>Vrutal</w:t>
      </w:r>
      <w:proofErr w:type="spellEnd"/>
      <w:r>
        <w:t xml:space="preserve"> diseña, integra y mantiene sobre ella.</w:t>
      </w:r>
    </w:p>
    <w:p w14:paraId="7788D3F8" w14:textId="77777777" w:rsidR="00406539" w:rsidRDefault="00000000">
      <w:pPr>
        <w:pStyle w:val="ListParagraph"/>
        <w:numPr>
          <w:ilvl w:val="0"/>
          <w:numId w:val="1"/>
        </w:numPr>
        <w:spacing w:after="90" w:line="270" w:lineRule="auto"/>
      </w:pPr>
      <w:r>
        <w:rPr>
          <w:b/>
          <w:bCs/>
        </w:rPr>
        <w:t xml:space="preserve">Privacidad: </w:t>
      </w:r>
      <w:r>
        <w:t xml:space="preserve">máxima; el dato ni siquiera entra en infraestructura de </w:t>
      </w:r>
      <w:proofErr w:type="spellStart"/>
      <w:r>
        <w:t>Vrutal</w:t>
      </w:r>
      <w:proofErr w:type="spellEnd"/>
      <w:r>
        <w:t>.</w:t>
      </w:r>
    </w:p>
    <w:p w14:paraId="5738CC0D" w14:textId="77777777" w:rsidR="00406539" w:rsidRDefault="00000000">
      <w:pPr>
        <w:pStyle w:val="ListParagraph"/>
        <w:numPr>
          <w:ilvl w:val="0"/>
          <w:numId w:val="1"/>
        </w:numPr>
        <w:spacing w:after="90" w:line="270" w:lineRule="auto"/>
      </w:pPr>
      <w:r>
        <w:rPr>
          <w:b/>
          <w:bCs/>
        </w:rPr>
        <w:t xml:space="preserve">Coste: </w:t>
      </w:r>
      <w:r>
        <w:t xml:space="preserve">el cliente asume hardware y operación; </w:t>
      </w:r>
      <w:proofErr w:type="spellStart"/>
      <w:r>
        <w:t>Vrutal</w:t>
      </w:r>
      <w:proofErr w:type="spellEnd"/>
      <w:r>
        <w:t xml:space="preserve"> cobra la línea de gestión e integración.</w:t>
      </w:r>
    </w:p>
    <w:p w14:paraId="38F8EB69" w14:textId="77777777" w:rsidR="00406539" w:rsidRDefault="00000000">
      <w:pPr>
        <w:pStyle w:val="ListParagraph"/>
        <w:numPr>
          <w:ilvl w:val="0"/>
          <w:numId w:val="1"/>
        </w:numPr>
        <w:spacing w:after="90" w:line="270" w:lineRule="auto"/>
      </w:pPr>
      <w:proofErr w:type="gramStart"/>
      <w:r>
        <w:rPr>
          <w:b/>
          <w:bCs/>
        </w:rPr>
        <w:t>Cuándo</w:t>
      </w:r>
      <w:proofErr w:type="gramEnd"/>
      <w:r>
        <w:rPr>
          <w:b/>
          <w:bCs/>
        </w:rPr>
        <w:t xml:space="preserve">: </w:t>
      </w:r>
      <w:r>
        <w:t>el cliente ya tiene o quiere tener control total de la máquina y su dato.</w:t>
      </w:r>
    </w:p>
    <w:p w14:paraId="406BE912" w14:textId="77777777" w:rsidR="00406539" w:rsidRDefault="00000000">
      <w:r>
        <w:br w:type="page"/>
      </w:r>
    </w:p>
    <w:p w14:paraId="06D92DC9" w14:textId="77777777" w:rsidR="00406539" w:rsidRDefault="00000000">
      <w:pPr>
        <w:pStyle w:val="Heading1"/>
        <w:spacing w:before="340" w:after="140"/>
      </w:pPr>
      <w:r>
        <w:rPr>
          <w:b/>
          <w:bCs/>
          <w:color w:val="111111"/>
          <w:sz w:val="30"/>
          <w:szCs w:val="30"/>
        </w:rPr>
        <w:lastRenderedPageBreak/>
        <w:t>4 · Realidad de hardware y coste por tamaño de modelo</w:t>
      </w:r>
    </w:p>
    <w:p w14:paraId="54BE2E1E" w14:textId="77777777" w:rsidR="00406539" w:rsidRDefault="00406539">
      <w:pPr>
        <w:pBdr>
          <w:bottom w:val="single" w:sz="8" w:space="0" w:color="FF6A00"/>
        </w:pBdr>
        <w:spacing w:before="80" w:after="160"/>
      </w:pPr>
    </w:p>
    <w:p w14:paraId="1EFC1449" w14:textId="77777777" w:rsidR="00406539" w:rsidRDefault="00000000">
      <w:pPr>
        <w:spacing w:after="140" w:line="276" w:lineRule="auto"/>
      </w:pPr>
      <w:r>
        <w:t>La brecha entre «pesos descargables gratis» y «operable a coste razonable» es el dato decisivo. Cifras a agosto de 2026, sujetas a revisión.</w:t>
      </w:r>
    </w:p>
    <w:tbl>
      <w:tblPr>
        <w:tblW w:w="9026" w:type="dxa"/>
        <w:tblBorders>
          <w:top w:val="single" w:sz="2" w:space="0" w:color="D8D8D4"/>
          <w:bottom w:val="single" w:sz="2" w:space="0" w:color="D8D8D4"/>
          <w:insideH w:val="single" w:sz="2" w:space="0" w:color="E4E4E0"/>
        </w:tblBorders>
        <w:tblCellMar>
          <w:left w:w="10" w:type="dxa"/>
          <w:right w:w="10" w:type="dxa"/>
        </w:tblCellMar>
        <w:tblLook w:val="0000" w:firstRow="0" w:lastRow="0" w:firstColumn="0" w:lastColumn="0" w:noHBand="0" w:noVBand="0"/>
      </w:tblPr>
      <w:tblGrid>
        <w:gridCol w:w="2100"/>
        <w:gridCol w:w="1500"/>
        <w:gridCol w:w="2126"/>
        <w:gridCol w:w="1800"/>
        <w:gridCol w:w="1500"/>
      </w:tblGrid>
      <w:tr w:rsidR="00406539" w14:paraId="569A9422" w14:textId="77777777">
        <w:tblPrEx>
          <w:tblCellMar>
            <w:top w:w="0" w:type="dxa"/>
            <w:bottom w:w="0" w:type="dxa"/>
          </w:tblCellMar>
        </w:tblPrEx>
        <w:trPr>
          <w:tblHeader/>
        </w:trPr>
        <w:tc>
          <w:tcPr>
            <w:tcW w:w="2100" w:type="dxa"/>
            <w:shd w:val="clear" w:color="auto" w:fill="111111"/>
            <w:tcMar>
              <w:top w:w="70" w:type="dxa"/>
              <w:left w:w="110" w:type="dxa"/>
              <w:bottom w:w="70" w:type="dxa"/>
              <w:right w:w="110" w:type="dxa"/>
            </w:tcMar>
          </w:tcPr>
          <w:p w14:paraId="47A2F0C3" w14:textId="77777777" w:rsidR="00406539" w:rsidRDefault="00000000">
            <w:pPr>
              <w:spacing w:line="250" w:lineRule="auto"/>
            </w:pPr>
            <w:r>
              <w:rPr>
                <w:b/>
                <w:bCs/>
                <w:color w:val="FFFFFF"/>
                <w:sz w:val="19"/>
                <w:szCs w:val="19"/>
              </w:rPr>
              <w:t>Clase de modelo</w:t>
            </w:r>
          </w:p>
        </w:tc>
        <w:tc>
          <w:tcPr>
            <w:tcW w:w="1500" w:type="dxa"/>
            <w:shd w:val="clear" w:color="auto" w:fill="111111"/>
            <w:tcMar>
              <w:top w:w="70" w:type="dxa"/>
              <w:left w:w="110" w:type="dxa"/>
              <w:bottom w:w="70" w:type="dxa"/>
              <w:right w:w="110" w:type="dxa"/>
            </w:tcMar>
          </w:tcPr>
          <w:p w14:paraId="50FB442D" w14:textId="77777777" w:rsidR="00406539" w:rsidRDefault="00000000">
            <w:pPr>
              <w:spacing w:line="250" w:lineRule="auto"/>
            </w:pPr>
            <w:r>
              <w:rPr>
                <w:b/>
                <w:bCs/>
                <w:color w:val="FFFFFF"/>
                <w:sz w:val="19"/>
                <w:szCs w:val="19"/>
              </w:rPr>
              <w:t>VRAM / memoria</w:t>
            </w:r>
          </w:p>
        </w:tc>
        <w:tc>
          <w:tcPr>
            <w:tcW w:w="2126" w:type="dxa"/>
            <w:shd w:val="clear" w:color="auto" w:fill="111111"/>
            <w:tcMar>
              <w:top w:w="70" w:type="dxa"/>
              <w:left w:w="110" w:type="dxa"/>
              <w:bottom w:w="70" w:type="dxa"/>
              <w:right w:w="110" w:type="dxa"/>
            </w:tcMar>
          </w:tcPr>
          <w:p w14:paraId="52735C4C" w14:textId="77777777" w:rsidR="00406539" w:rsidRDefault="00000000">
            <w:pPr>
              <w:spacing w:line="250" w:lineRule="auto"/>
            </w:pPr>
            <w:r>
              <w:rPr>
                <w:b/>
                <w:bCs/>
                <w:color w:val="FFFFFF"/>
                <w:sz w:val="19"/>
                <w:szCs w:val="19"/>
              </w:rPr>
              <w:t>Hardware</w:t>
            </w:r>
          </w:p>
        </w:tc>
        <w:tc>
          <w:tcPr>
            <w:tcW w:w="1800" w:type="dxa"/>
            <w:shd w:val="clear" w:color="auto" w:fill="111111"/>
            <w:tcMar>
              <w:top w:w="70" w:type="dxa"/>
              <w:left w:w="110" w:type="dxa"/>
              <w:bottom w:w="70" w:type="dxa"/>
              <w:right w:w="110" w:type="dxa"/>
            </w:tcMar>
          </w:tcPr>
          <w:p w14:paraId="2EA8A34E" w14:textId="77777777" w:rsidR="00406539" w:rsidRDefault="00000000">
            <w:pPr>
              <w:spacing w:line="250" w:lineRule="auto"/>
            </w:pPr>
            <w:r>
              <w:rPr>
                <w:b/>
                <w:bCs/>
                <w:color w:val="FFFFFF"/>
                <w:sz w:val="19"/>
                <w:szCs w:val="19"/>
              </w:rPr>
              <w:t>Coste orientativo</w:t>
            </w:r>
          </w:p>
        </w:tc>
        <w:tc>
          <w:tcPr>
            <w:tcW w:w="1500" w:type="dxa"/>
            <w:shd w:val="clear" w:color="auto" w:fill="111111"/>
            <w:tcMar>
              <w:top w:w="70" w:type="dxa"/>
              <w:left w:w="110" w:type="dxa"/>
              <w:bottom w:w="70" w:type="dxa"/>
              <w:right w:w="110" w:type="dxa"/>
            </w:tcMar>
          </w:tcPr>
          <w:p w14:paraId="168DBD0F" w14:textId="77777777" w:rsidR="00406539" w:rsidRDefault="00000000">
            <w:pPr>
              <w:spacing w:line="250" w:lineRule="auto"/>
            </w:pPr>
            <w:r>
              <w:rPr>
                <w:b/>
                <w:bCs/>
                <w:color w:val="FFFFFF"/>
                <w:sz w:val="19"/>
                <w:szCs w:val="19"/>
              </w:rPr>
              <w:t>Encaje</w:t>
            </w:r>
          </w:p>
        </w:tc>
      </w:tr>
      <w:tr w:rsidR="00406539" w14:paraId="5BC0BEC2" w14:textId="77777777">
        <w:tblPrEx>
          <w:tblCellMar>
            <w:top w:w="0" w:type="dxa"/>
            <w:bottom w:w="0" w:type="dxa"/>
          </w:tblCellMar>
        </w:tblPrEx>
        <w:tc>
          <w:tcPr>
            <w:tcW w:w="2100" w:type="dxa"/>
            <w:shd w:val="clear" w:color="auto" w:fill="F8F8F6"/>
            <w:tcMar>
              <w:top w:w="70" w:type="dxa"/>
              <w:left w:w="110" w:type="dxa"/>
              <w:bottom w:w="70" w:type="dxa"/>
              <w:right w:w="110" w:type="dxa"/>
            </w:tcMar>
          </w:tcPr>
          <w:p w14:paraId="0331B239" w14:textId="77777777" w:rsidR="00406539" w:rsidRDefault="00000000">
            <w:pPr>
              <w:spacing w:line="250" w:lineRule="auto"/>
            </w:pPr>
            <w:r>
              <w:rPr>
                <w:b/>
                <w:bCs/>
                <w:sz w:val="19"/>
                <w:szCs w:val="19"/>
              </w:rPr>
              <w:t>Pequeño 7-14B (destilado)</w:t>
            </w:r>
          </w:p>
        </w:tc>
        <w:tc>
          <w:tcPr>
            <w:tcW w:w="1500" w:type="dxa"/>
            <w:shd w:val="clear" w:color="auto" w:fill="F8F8F6"/>
            <w:tcMar>
              <w:top w:w="70" w:type="dxa"/>
              <w:left w:w="110" w:type="dxa"/>
              <w:bottom w:w="70" w:type="dxa"/>
              <w:right w:w="110" w:type="dxa"/>
            </w:tcMar>
          </w:tcPr>
          <w:p w14:paraId="248EEE54" w14:textId="77777777" w:rsidR="00406539" w:rsidRDefault="00000000">
            <w:pPr>
              <w:spacing w:line="250" w:lineRule="auto"/>
            </w:pPr>
            <w:r>
              <w:rPr>
                <w:sz w:val="19"/>
                <w:szCs w:val="19"/>
              </w:rPr>
              <w:t>~5-18 GB</w:t>
            </w:r>
          </w:p>
        </w:tc>
        <w:tc>
          <w:tcPr>
            <w:tcW w:w="2126" w:type="dxa"/>
            <w:shd w:val="clear" w:color="auto" w:fill="F8F8F6"/>
            <w:tcMar>
              <w:top w:w="70" w:type="dxa"/>
              <w:left w:w="110" w:type="dxa"/>
              <w:bottom w:w="70" w:type="dxa"/>
              <w:right w:w="110" w:type="dxa"/>
            </w:tcMar>
          </w:tcPr>
          <w:p w14:paraId="1A59DA25" w14:textId="77777777" w:rsidR="00406539" w:rsidRDefault="00000000">
            <w:pPr>
              <w:spacing w:line="250" w:lineRule="auto"/>
            </w:pPr>
            <w:r>
              <w:rPr>
                <w:sz w:val="19"/>
                <w:szCs w:val="19"/>
              </w:rPr>
              <w:t>1 GPU de gama de entrada</w:t>
            </w:r>
          </w:p>
        </w:tc>
        <w:tc>
          <w:tcPr>
            <w:tcW w:w="1800" w:type="dxa"/>
            <w:shd w:val="clear" w:color="auto" w:fill="F8F8F6"/>
            <w:tcMar>
              <w:top w:w="70" w:type="dxa"/>
              <w:left w:w="110" w:type="dxa"/>
              <w:bottom w:w="70" w:type="dxa"/>
              <w:right w:w="110" w:type="dxa"/>
            </w:tcMar>
          </w:tcPr>
          <w:p w14:paraId="04128ED1" w14:textId="77777777" w:rsidR="00406539" w:rsidRDefault="00000000">
            <w:pPr>
              <w:spacing w:line="250" w:lineRule="auto"/>
            </w:pPr>
            <w:r>
              <w:rPr>
                <w:sz w:val="19"/>
                <w:szCs w:val="19"/>
              </w:rPr>
              <w:t>GPU UE desde ~€184/mes</w:t>
            </w:r>
          </w:p>
        </w:tc>
        <w:tc>
          <w:tcPr>
            <w:tcW w:w="1500" w:type="dxa"/>
            <w:shd w:val="clear" w:color="auto" w:fill="F8F8F6"/>
            <w:tcMar>
              <w:top w:w="70" w:type="dxa"/>
              <w:left w:w="110" w:type="dxa"/>
              <w:bottom w:w="70" w:type="dxa"/>
              <w:right w:w="110" w:type="dxa"/>
            </w:tcMar>
          </w:tcPr>
          <w:p w14:paraId="56FDA571" w14:textId="77777777" w:rsidR="00406539" w:rsidRDefault="00000000">
            <w:pPr>
              <w:spacing w:line="250" w:lineRule="auto"/>
            </w:pPr>
            <w:r>
              <w:rPr>
                <w:sz w:val="19"/>
                <w:szCs w:val="19"/>
              </w:rPr>
              <w:t>Bajo riesgo, alto volumen</w:t>
            </w:r>
          </w:p>
        </w:tc>
      </w:tr>
      <w:tr w:rsidR="00406539" w14:paraId="3C67398D"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0C630919" w14:textId="77777777" w:rsidR="00406539" w:rsidRDefault="00000000">
            <w:pPr>
              <w:spacing w:line="250" w:lineRule="auto"/>
            </w:pPr>
            <w:r>
              <w:rPr>
                <w:b/>
                <w:bCs/>
                <w:sz w:val="19"/>
                <w:szCs w:val="19"/>
              </w:rPr>
              <w:t>Mediano 32-70B (destilado)</w:t>
            </w:r>
          </w:p>
        </w:tc>
        <w:tc>
          <w:tcPr>
            <w:tcW w:w="1500" w:type="dxa"/>
            <w:shd w:val="clear" w:color="auto" w:fill="FFFFFF"/>
            <w:tcMar>
              <w:top w:w="70" w:type="dxa"/>
              <w:left w:w="110" w:type="dxa"/>
              <w:bottom w:w="70" w:type="dxa"/>
              <w:right w:w="110" w:type="dxa"/>
            </w:tcMar>
          </w:tcPr>
          <w:p w14:paraId="4E60B7C8" w14:textId="77777777" w:rsidR="00406539" w:rsidRDefault="00000000">
            <w:pPr>
              <w:spacing w:line="250" w:lineRule="auto"/>
            </w:pPr>
            <w:r>
              <w:rPr>
                <w:sz w:val="19"/>
                <w:szCs w:val="19"/>
              </w:rPr>
              <w:t>~24-42 GB</w:t>
            </w:r>
          </w:p>
        </w:tc>
        <w:tc>
          <w:tcPr>
            <w:tcW w:w="2126" w:type="dxa"/>
            <w:shd w:val="clear" w:color="auto" w:fill="FFFFFF"/>
            <w:tcMar>
              <w:top w:w="70" w:type="dxa"/>
              <w:left w:w="110" w:type="dxa"/>
              <w:bottom w:w="70" w:type="dxa"/>
              <w:right w:w="110" w:type="dxa"/>
            </w:tcMar>
          </w:tcPr>
          <w:p w14:paraId="6F775A3B" w14:textId="77777777" w:rsidR="00406539" w:rsidRDefault="00000000">
            <w:pPr>
              <w:spacing w:line="250" w:lineRule="auto"/>
            </w:pPr>
            <w:r>
              <w:rPr>
                <w:sz w:val="19"/>
                <w:szCs w:val="19"/>
              </w:rPr>
              <w:t>1 GPU de 24-48 GB</w:t>
            </w:r>
          </w:p>
        </w:tc>
        <w:tc>
          <w:tcPr>
            <w:tcW w:w="1800" w:type="dxa"/>
            <w:shd w:val="clear" w:color="auto" w:fill="FFFFFF"/>
            <w:tcMar>
              <w:top w:w="70" w:type="dxa"/>
              <w:left w:w="110" w:type="dxa"/>
              <w:bottom w:w="70" w:type="dxa"/>
              <w:right w:w="110" w:type="dxa"/>
            </w:tcMar>
          </w:tcPr>
          <w:p w14:paraId="50CD7CD3" w14:textId="77777777" w:rsidR="00406539" w:rsidRDefault="00000000">
            <w:pPr>
              <w:spacing w:line="250" w:lineRule="auto"/>
            </w:pPr>
            <w:r>
              <w:rPr>
                <w:sz w:val="19"/>
                <w:szCs w:val="19"/>
              </w:rPr>
              <w:t>GPU UE ~€184-889/mes</w:t>
            </w:r>
          </w:p>
        </w:tc>
        <w:tc>
          <w:tcPr>
            <w:tcW w:w="1500" w:type="dxa"/>
            <w:shd w:val="clear" w:color="auto" w:fill="FFFFFF"/>
            <w:tcMar>
              <w:top w:w="70" w:type="dxa"/>
              <w:left w:w="110" w:type="dxa"/>
              <w:bottom w:w="70" w:type="dxa"/>
              <w:right w:w="110" w:type="dxa"/>
            </w:tcMar>
          </w:tcPr>
          <w:p w14:paraId="763A7A00" w14:textId="77777777" w:rsidR="00406539" w:rsidRDefault="00000000">
            <w:pPr>
              <w:spacing w:line="250" w:lineRule="auto"/>
            </w:pPr>
            <w:r>
              <w:rPr>
                <w:sz w:val="19"/>
                <w:szCs w:val="19"/>
              </w:rPr>
              <w:t>Medio riesgo; opción privada por defecto</w:t>
            </w:r>
          </w:p>
        </w:tc>
      </w:tr>
      <w:tr w:rsidR="00406539" w14:paraId="0CD9E253" w14:textId="77777777">
        <w:tblPrEx>
          <w:tblCellMar>
            <w:top w:w="0" w:type="dxa"/>
            <w:bottom w:w="0" w:type="dxa"/>
          </w:tblCellMar>
        </w:tblPrEx>
        <w:tc>
          <w:tcPr>
            <w:tcW w:w="2100" w:type="dxa"/>
            <w:shd w:val="clear" w:color="auto" w:fill="F8F8F6"/>
            <w:tcMar>
              <w:top w:w="70" w:type="dxa"/>
              <w:left w:w="110" w:type="dxa"/>
              <w:bottom w:w="70" w:type="dxa"/>
              <w:right w:w="110" w:type="dxa"/>
            </w:tcMar>
          </w:tcPr>
          <w:p w14:paraId="5F17B142" w14:textId="77777777" w:rsidR="00406539" w:rsidRDefault="00000000">
            <w:pPr>
              <w:spacing w:line="250" w:lineRule="auto"/>
            </w:pPr>
            <w:proofErr w:type="gramStart"/>
            <w:r>
              <w:rPr>
                <w:b/>
                <w:bCs/>
                <w:sz w:val="19"/>
                <w:szCs w:val="19"/>
              </w:rPr>
              <w:t>Frontera abierto</w:t>
            </w:r>
            <w:proofErr w:type="gramEnd"/>
            <w:r>
              <w:rPr>
                <w:b/>
                <w:bCs/>
                <w:sz w:val="19"/>
                <w:szCs w:val="19"/>
              </w:rPr>
              <w:t xml:space="preserve"> 2-3T (</w:t>
            </w:r>
            <w:proofErr w:type="spellStart"/>
            <w:r>
              <w:rPr>
                <w:b/>
                <w:bCs/>
                <w:sz w:val="19"/>
                <w:szCs w:val="19"/>
              </w:rPr>
              <w:t>MoE</w:t>
            </w:r>
            <w:proofErr w:type="spellEnd"/>
            <w:r>
              <w:rPr>
                <w:b/>
                <w:bCs/>
                <w:sz w:val="19"/>
                <w:szCs w:val="19"/>
              </w:rPr>
              <w:t>)</w:t>
            </w:r>
          </w:p>
        </w:tc>
        <w:tc>
          <w:tcPr>
            <w:tcW w:w="1500" w:type="dxa"/>
            <w:shd w:val="clear" w:color="auto" w:fill="F8F8F6"/>
            <w:tcMar>
              <w:top w:w="70" w:type="dxa"/>
              <w:left w:w="110" w:type="dxa"/>
              <w:bottom w:w="70" w:type="dxa"/>
              <w:right w:w="110" w:type="dxa"/>
            </w:tcMar>
          </w:tcPr>
          <w:p w14:paraId="2AF8256B" w14:textId="77777777" w:rsidR="00406539" w:rsidRDefault="00000000">
            <w:pPr>
              <w:spacing w:line="250" w:lineRule="auto"/>
            </w:pPr>
            <w:r>
              <w:rPr>
                <w:sz w:val="19"/>
                <w:szCs w:val="19"/>
              </w:rPr>
              <w:t>~1,4 TB en 4 bits</w:t>
            </w:r>
          </w:p>
        </w:tc>
        <w:tc>
          <w:tcPr>
            <w:tcW w:w="2126" w:type="dxa"/>
            <w:shd w:val="clear" w:color="auto" w:fill="F8F8F6"/>
            <w:tcMar>
              <w:top w:w="70" w:type="dxa"/>
              <w:left w:w="110" w:type="dxa"/>
              <w:bottom w:w="70" w:type="dxa"/>
              <w:right w:w="110" w:type="dxa"/>
            </w:tcMar>
          </w:tcPr>
          <w:p w14:paraId="0CC037B1" w14:textId="77777777" w:rsidR="00406539" w:rsidRDefault="00000000">
            <w:pPr>
              <w:spacing w:line="250" w:lineRule="auto"/>
            </w:pPr>
            <w:r>
              <w:rPr>
                <w:sz w:val="19"/>
                <w:szCs w:val="19"/>
              </w:rPr>
              <w:t xml:space="preserve">Nodo </w:t>
            </w:r>
            <w:proofErr w:type="spellStart"/>
            <w:r>
              <w:rPr>
                <w:sz w:val="19"/>
                <w:szCs w:val="19"/>
              </w:rPr>
              <w:t>multi-acelerador</w:t>
            </w:r>
            <w:proofErr w:type="spellEnd"/>
            <w:r>
              <w:rPr>
                <w:sz w:val="19"/>
                <w:szCs w:val="19"/>
              </w:rPr>
              <w:t xml:space="preserve"> (Blackwell / MI400)</w:t>
            </w:r>
          </w:p>
        </w:tc>
        <w:tc>
          <w:tcPr>
            <w:tcW w:w="1800" w:type="dxa"/>
            <w:shd w:val="clear" w:color="auto" w:fill="F8F8F6"/>
            <w:tcMar>
              <w:top w:w="70" w:type="dxa"/>
              <w:left w:w="110" w:type="dxa"/>
              <w:bottom w:w="70" w:type="dxa"/>
              <w:right w:w="110" w:type="dxa"/>
            </w:tcMar>
          </w:tcPr>
          <w:p w14:paraId="45252F28" w14:textId="77777777" w:rsidR="00406539" w:rsidRDefault="00000000">
            <w:pPr>
              <w:spacing w:line="250" w:lineRule="auto"/>
            </w:pPr>
            <w:r>
              <w:rPr>
                <w:sz w:val="19"/>
                <w:szCs w:val="19"/>
              </w:rPr>
              <w:t>Coste de centro de datos</w:t>
            </w:r>
          </w:p>
        </w:tc>
        <w:tc>
          <w:tcPr>
            <w:tcW w:w="1500" w:type="dxa"/>
            <w:shd w:val="clear" w:color="auto" w:fill="F8F8F6"/>
            <w:tcMar>
              <w:top w:w="70" w:type="dxa"/>
              <w:left w:w="110" w:type="dxa"/>
              <w:bottom w:w="70" w:type="dxa"/>
              <w:right w:w="110" w:type="dxa"/>
            </w:tcMar>
          </w:tcPr>
          <w:p w14:paraId="3E8EF1AA" w14:textId="77777777" w:rsidR="00406539" w:rsidRDefault="00000000">
            <w:pPr>
              <w:spacing w:line="250" w:lineRule="auto"/>
            </w:pPr>
            <w:r>
              <w:rPr>
                <w:sz w:val="19"/>
                <w:szCs w:val="19"/>
              </w:rPr>
              <w:t>Solo si se exige frontera + privacidad</w:t>
            </w:r>
          </w:p>
        </w:tc>
      </w:tr>
    </w:tbl>
    <w:p w14:paraId="1DCC3C48" w14:textId="77777777" w:rsidR="00406539" w:rsidRDefault="00000000">
      <w:pPr>
        <w:spacing w:before="120"/>
      </w:pPr>
      <w:r>
        <w:rPr>
          <w:i/>
          <w:iCs/>
          <w:color w:val="6B6B6B"/>
          <w:sz w:val="20"/>
          <w:szCs w:val="20"/>
        </w:rPr>
        <w:t xml:space="preserve">Lectura: un modelo pequeño o mediano resuelve casi todo lo que un cliente del ICP necesita en privado sobre una única GPU. Un modelo de clase frontera abierta (2-3 billones de parámetros, tipo Kimi K3) necesita del orden de 1,4 TB de memoria rápida incluso en 4 bits, lo que exige nodos </w:t>
      </w:r>
      <w:proofErr w:type="spellStart"/>
      <w:r>
        <w:rPr>
          <w:i/>
          <w:iCs/>
          <w:color w:val="6B6B6B"/>
          <w:sz w:val="20"/>
          <w:szCs w:val="20"/>
        </w:rPr>
        <w:t>multi-acelerador</w:t>
      </w:r>
      <w:proofErr w:type="spellEnd"/>
      <w:r>
        <w:rPr>
          <w:i/>
          <w:iCs/>
          <w:color w:val="6B6B6B"/>
          <w:sz w:val="20"/>
          <w:szCs w:val="20"/>
        </w:rPr>
        <w:t>: no es infraestructura de pyme, es coste de centro de datos. Usarlo para roles que un 32B cubre es alquilar un data center para abrir una hoja de cálculo.</w:t>
      </w:r>
    </w:p>
    <w:p w14:paraId="3F315D7D" w14:textId="77777777" w:rsidR="00406539" w:rsidRDefault="00000000">
      <w:pPr>
        <w:pStyle w:val="Heading1"/>
        <w:spacing w:before="340" w:after="140"/>
      </w:pPr>
      <w:r>
        <w:rPr>
          <w:b/>
          <w:bCs/>
          <w:color w:val="111111"/>
          <w:sz w:val="30"/>
          <w:szCs w:val="30"/>
        </w:rPr>
        <w:t>5 · Qué modelo para qué rol</w:t>
      </w:r>
    </w:p>
    <w:p w14:paraId="63DC5B40" w14:textId="77777777" w:rsidR="00406539" w:rsidRDefault="00406539">
      <w:pPr>
        <w:pBdr>
          <w:bottom w:val="single" w:sz="8" w:space="0" w:color="FF6A00"/>
        </w:pBdr>
        <w:spacing w:before="80" w:after="160"/>
      </w:pPr>
    </w:p>
    <w:tbl>
      <w:tblPr>
        <w:tblW w:w="9026" w:type="dxa"/>
        <w:tblBorders>
          <w:top w:val="single" w:sz="2" w:space="0" w:color="D8D8D4"/>
          <w:bottom w:val="single" w:sz="2" w:space="0" w:color="D8D8D4"/>
          <w:insideH w:val="single" w:sz="2" w:space="0" w:color="E4E4E0"/>
        </w:tblBorders>
        <w:tblCellMar>
          <w:left w:w="10" w:type="dxa"/>
          <w:right w:w="10" w:type="dxa"/>
        </w:tblCellMar>
        <w:tblLook w:val="0000" w:firstRow="0" w:lastRow="0" w:firstColumn="0" w:lastColumn="0" w:noHBand="0" w:noVBand="0"/>
      </w:tblPr>
      <w:tblGrid>
        <w:gridCol w:w="2400"/>
        <w:gridCol w:w="3626"/>
        <w:gridCol w:w="3000"/>
      </w:tblGrid>
      <w:tr w:rsidR="00406539" w14:paraId="30075A30" w14:textId="77777777">
        <w:tblPrEx>
          <w:tblCellMar>
            <w:top w:w="0" w:type="dxa"/>
            <w:bottom w:w="0" w:type="dxa"/>
          </w:tblCellMar>
        </w:tblPrEx>
        <w:trPr>
          <w:tblHeader/>
        </w:trPr>
        <w:tc>
          <w:tcPr>
            <w:tcW w:w="2400" w:type="dxa"/>
            <w:shd w:val="clear" w:color="auto" w:fill="111111"/>
            <w:tcMar>
              <w:top w:w="70" w:type="dxa"/>
              <w:left w:w="110" w:type="dxa"/>
              <w:bottom w:w="70" w:type="dxa"/>
              <w:right w:w="110" w:type="dxa"/>
            </w:tcMar>
          </w:tcPr>
          <w:p w14:paraId="17A59419" w14:textId="77777777" w:rsidR="00406539" w:rsidRDefault="00000000">
            <w:pPr>
              <w:spacing w:line="250" w:lineRule="auto"/>
            </w:pPr>
            <w:r>
              <w:rPr>
                <w:b/>
                <w:bCs/>
                <w:color w:val="FFFFFF"/>
                <w:sz w:val="19"/>
                <w:szCs w:val="19"/>
              </w:rPr>
              <w:t>Riesgo del rol</w:t>
            </w:r>
          </w:p>
        </w:tc>
        <w:tc>
          <w:tcPr>
            <w:tcW w:w="3626" w:type="dxa"/>
            <w:shd w:val="clear" w:color="auto" w:fill="111111"/>
            <w:tcMar>
              <w:top w:w="70" w:type="dxa"/>
              <w:left w:w="110" w:type="dxa"/>
              <w:bottom w:w="70" w:type="dxa"/>
              <w:right w:w="110" w:type="dxa"/>
            </w:tcMar>
          </w:tcPr>
          <w:p w14:paraId="462F417F" w14:textId="77777777" w:rsidR="00406539" w:rsidRDefault="00000000">
            <w:pPr>
              <w:spacing w:line="250" w:lineRule="auto"/>
            </w:pPr>
            <w:r>
              <w:rPr>
                <w:b/>
                <w:bCs/>
                <w:color w:val="FFFFFF"/>
                <w:sz w:val="19"/>
                <w:szCs w:val="19"/>
              </w:rPr>
              <w:t>Ejemplo</w:t>
            </w:r>
          </w:p>
        </w:tc>
        <w:tc>
          <w:tcPr>
            <w:tcW w:w="3000" w:type="dxa"/>
            <w:shd w:val="clear" w:color="auto" w:fill="111111"/>
            <w:tcMar>
              <w:top w:w="70" w:type="dxa"/>
              <w:left w:w="110" w:type="dxa"/>
              <w:bottom w:w="70" w:type="dxa"/>
              <w:right w:w="110" w:type="dxa"/>
            </w:tcMar>
          </w:tcPr>
          <w:p w14:paraId="1DF08ABE" w14:textId="77777777" w:rsidR="00406539" w:rsidRDefault="00000000">
            <w:pPr>
              <w:spacing w:line="250" w:lineRule="auto"/>
            </w:pPr>
            <w:r>
              <w:rPr>
                <w:b/>
                <w:bCs/>
                <w:color w:val="FFFFFF"/>
                <w:sz w:val="19"/>
                <w:szCs w:val="19"/>
              </w:rPr>
              <w:t>Recomendación privada</w:t>
            </w:r>
          </w:p>
        </w:tc>
      </w:tr>
      <w:tr w:rsidR="00406539" w14:paraId="60E422C2" w14:textId="77777777">
        <w:tblPrEx>
          <w:tblCellMar>
            <w:top w:w="0" w:type="dxa"/>
            <w:bottom w:w="0" w:type="dxa"/>
          </w:tblCellMar>
        </w:tblPrEx>
        <w:tc>
          <w:tcPr>
            <w:tcW w:w="2400" w:type="dxa"/>
            <w:shd w:val="clear" w:color="auto" w:fill="F8F8F6"/>
            <w:tcMar>
              <w:top w:w="70" w:type="dxa"/>
              <w:left w:w="110" w:type="dxa"/>
              <w:bottom w:w="70" w:type="dxa"/>
              <w:right w:w="110" w:type="dxa"/>
            </w:tcMar>
          </w:tcPr>
          <w:p w14:paraId="251BC200" w14:textId="77777777" w:rsidR="00406539" w:rsidRDefault="00000000">
            <w:pPr>
              <w:spacing w:line="250" w:lineRule="auto"/>
            </w:pPr>
            <w:r>
              <w:rPr>
                <w:b/>
                <w:bCs/>
                <w:sz w:val="19"/>
                <w:szCs w:val="19"/>
              </w:rPr>
              <w:t>Bajo — error reversible</w:t>
            </w:r>
          </w:p>
        </w:tc>
        <w:tc>
          <w:tcPr>
            <w:tcW w:w="3626" w:type="dxa"/>
            <w:shd w:val="clear" w:color="auto" w:fill="F8F8F6"/>
            <w:tcMar>
              <w:top w:w="70" w:type="dxa"/>
              <w:left w:w="110" w:type="dxa"/>
              <w:bottom w:w="70" w:type="dxa"/>
              <w:right w:w="110" w:type="dxa"/>
            </w:tcMar>
          </w:tcPr>
          <w:p w14:paraId="34EE3651" w14:textId="77777777" w:rsidR="00406539" w:rsidRDefault="00000000">
            <w:pPr>
              <w:spacing w:line="250" w:lineRule="auto"/>
            </w:pPr>
            <w:r>
              <w:rPr>
                <w:sz w:val="19"/>
                <w:szCs w:val="19"/>
              </w:rPr>
              <w:t>Clasificar leads, extraer datos, borradores</w:t>
            </w:r>
          </w:p>
        </w:tc>
        <w:tc>
          <w:tcPr>
            <w:tcW w:w="3000" w:type="dxa"/>
            <w:shd w:val="clear" w:color="auto" w:fill="F8F8F6"/>
            <w:tcMar>
              <w:top w:w="70" w:type="dxa"/>
              <w:left w:w="110" w:type="dxa"/>
              <w:bottom w:w="70" w:type="dxa"/>
              <w:right w:w="110" w:type="dxa"/>
            </w:tcMar>
          </w:tcPr>
          <w:p w14:paraId="31A6A3BC" w14:textId="77777777" w:rsidR="00406539" w:rsidRDefault="00000000">
            <w:pPr>
              <w:spacing w:line="250" w:lineRule="auto"/>
            </w:pPr>
            <w:r>
              <w:rPr>
                <w:sz w:val="19"/>
                <w:szCs w:val="19"/>
              </w:rPr>
              <w:t>Modelo pequeño (Opción B)</w:t>
            </w:r>
          </w:p>
        </w:tc>
      </w:tr>
      <w:tr w:rsidR="00406539" w14:paraId="6FFB2B62"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2B1666E9" w14:textId="77777777" w:rsidR="00406539" w:rsidRDefault="00000000">
            <w:pPr>
              <w:spacing w:line="250" w:lineRule="auto"/>
            </w:pPr>
            <w:r>
              <w:rPr>
                <w:b/>
                <w:bCs/>
                <w:sz w:val="19"/>
                <w:szCs w:val="19"/>
              </w:rPr>
              <w:t>Medio — revisión humana</w:t>
            </w:r>
          </w:p>
        </w:tc>
        <w:tc>
          <w:tcPr>
            <w:tcW w:w="3626" w:type="dxa"/>
            <w:shd w:val="clear" w:color="auto" w:fill="FFFFFF"/>
            <w:tcMar>
              <w:top w:w="70" w:type="dxa"/>
              <w:left w:w="110" w:type="dxa"/>
              <w:bottom w:w="70" w:type="dxa"/>
              <w:right w:w="110" w:type="dxa"/>
            </w:tcMar>
          </w:tcPr>
          <w:p w14:paraId="1576CAD8" w14:textId="77777777" w:rsidR="00406539" w:rsidRDefault="00000000">
            <w:pPr>
              <w:spacing w:line="250" w:lineRule="auto"/>
            </w:pPr>
            <w:r>
              <w:rPr>
                <w:sz w:val="19"/>
                <w:szCs w:val="19"/>
              </w:rPr>
              <w:t>SEO de contenido, email, análisis</w:t>
            </w:r>
          </w:p>
        </w:tc>
        <w:tc>
          <w:tcPr>
            <w:tcW w:w="3000" w:type="dxa"/>
            <w:shd w:val="clear" w:color="auto" w:fill="FFFFFF"/>
            <w:tcMar>
              <w:top w:w="70" w:type="dxa"/>
              <w:left w:w="110" w:type="dxa"/>
              <w:bottom w:w="70" w:type="dxa"/>
              <w:right w:w="110" w:type="dxa"/>
            </w:tcMar>
          </w:tcPr>
          <w:p w14:paraId="09507DEA" w14:textId="77777777" w:rsidR="00406539" w:rsidRDefault="00000000">
            <w:pPr>
              <w:spacing w:line="250" w:lineRule="auto"/>
            </w:pPr>
            <w:r>
              <w:rPr>
                <w:sz w:val="19"/>
                <w:szCs w:val="19"/>
              </w:rPr>
              <w:t>Modelo mediano (Opción B/C)</w:t>
            </w:r>
          </w:p>
        </w:tc>
      </w:tr>
      <w:tr w:rsidR="00406539" w14:paraId="4C269A88" w14:textId="77777777">
        <w:tblPrEx>
          <w:tblCellMar>
            <w:top w:w="0" w:type="dxa"/>
            <w:bottom w:w="0" w:type="dxa"/>
          </w:tblCellMar>
        </w:tblPrEx>
        <w:tc>
          <w:tcPr>
            <w:tcW w:w="2400" w:type="dxa"/>
            <w:shd w:val="clear" w:color="auto" w:fill="F8F8F6"/>
            <w:tcMar>
              <w:top w:w="70" w:type="dxa"/>
              <w:left w:w="110" w:type="dxa"/>
              <w:bottom w:w="70" w:type="dxa"/>
              <w:right w:w="110" w:type="dxa"/>
            </w:tcMar>
          </w:tcPr>
          <w:p w14:paraId="11BC4358" w14:textId="77777777" w:rsidR="00406539" w:rsidRDefault="00000000">
            <w:pPr>
              <w:spacing w:line="250" w:lineRule="auto"/>
            </w:pPr>
            <w:r>
              <w:rPr>
                <w:b/>
                <w:bCs/>
                <w:sz w:val="19"/>
                <w:szCs w:val="19"/>
              </w:rPr>
              <w:t>Alto — presupuesto o marca</w:t>
            </w:r>
          </w:p>
        </w:tc>
        <w:tc>
          <w:tcPr>
            <w:tcW w:w="3626" w:type="dxa"/>
            <w:shd w:val="clear" w:color="auto" w:fill="F8F8F6"/>
            <w:tcMar>
              <w:top w:w="70" w:type="dxa"/>
              <w:left w:w="110" w:type="dxa"/>
              <w:bottom w:w="70" w:type="dxa"/>
              <w:right w:w="110" w:type="dxa"/>
            </w:tcMar>
          </w:tcPr>
          <w:p w14:paraId="7E703A71" w14:textId="77777777" w:rsidR="00406539" w:rsidRDefault="00000000">
            <w:pPr>
              <w:spacing w:line="250" w:lineRule="auto"/>
            </w:pPr>
            <w:r>
              <w:rPr>
                <w:sz w:val="19"/>
                <w:szCs w:val="19"/>
              </w:rPr>
              <w:t>SEM con gasto real, comunicación pública</w:t>
            </w:r>
          </w:p>
        </w:tc>
        <w:tc>
          <w:tcPr>
            <w:tcW w:w="3000" w:type="dxa"/>
            <w:shd w:val="clear" w:color="auto" w:fill="F8F8F6"/>
            <w:tcMar>
              <w:top w:w="70" w:type="dxa"/>
              <w:left w:w="110" w:type="dxa"/>
              <w:bottom w:w="70" w:type="dxa"/>
              <w:right w:w="110" w:type="dxa"/>
            </w:tcMar>
          </w:tcPr>
          <w:p w14:paraId="327EF916" w14:textId="77777777" w:rsidR="00406539" w:rsidRDefault="00000000">
            <w:pPr>
              <w:spacing w:line="250" w:lineRule="auto"/>
            </w:pPr>
            <w:r>
              <w:rPr>
                <w:sz w:val="19"/>
                <w:szCs w:val="19"/>
              </w:rPr>
              <w:t>Frontera (A) o modelo grande dedicado (C), con supervisión</w:t>
            </w:r>
          </w:p>
        </w:tc>
      </w:tr>
    </w:tbl>
    <w:p w14:paraId="00032F93" w14:textId="77777777" w:rsidR="00406539" w:rsidRDefault="00000000">
      <w:pPr>
        <w:spacing w:before="120"/>
      </w:pPr>
      <w:r>
        <w:rPr>
          <w:i/>
          <w:iCs/>
          <w:color w:val="6B6B6B"/>
          <w:sz w:val="20"/>
          <w:szCs w:val="20"/>
        </w:rPr>
        <w:t xml:space="preserve">Un modelo pequeño </w:t>
      </w:r>
      <w:proofErr w:type="spellStart"/>
      <w:r>
        <w:rPr>
          <w:i/>
          <w:iCs/>
          <w:color w:val="6B6B6B"/>
          <w:sz w:val="20"/>
          <w:szCs w:val="20"/>
        </w:rPr>
        <w:t>autoalojado</w:t>
      </w:r>
      <w:proofErr w:type="spellEnd"/>
      <w:r>
        <w:rPr>
          <w:i/>
          <w:iCs/>
          <w:color w:val="6B6B6B"/>
          <w:sz w:val="20"/>
          <w:szCs w:val="20"/>
        </w:rPr>
        <w:t xml:space="preserve"> no debe operar un rol de riesgo alto solo para preservar privacidad: si el cliente exige ambas cosas, la respuesta es un modelo grande dedicado y con supervisión, y su coste se refleja en el precio — no se disimula bajando la capacidad.</w:t>
      </w:r>
    </w:p>
    <w:p w14:paraId="1544B78D" w14:textId="77777777" w:rsidR="00406539" w:rsidRDefault="00000000">
      <w:pPr>
        <w:pStyle w:val="Heading1"/>
        <w:spacing w:before="340" w:after="140"/>
      </w:pPr>
      <w:r>
        <w:rPr>
          <w:b/>
          <w:bCs/>
          <w:color w:val="111111"/>
          <w:sz w:val="30"/>
          <w:szCs w:val="30"/>
        </w:rPr>
        <w:t>6 · Revisión de licencia (obligatoria)</w:t>
      </w:r>
    </w:p>
    <w:p w14:paraId="084268F4" w14:textId="77777777" w:rsidR="00406539" w:rsidRDefault="00406539">
      <w:pPr>
        <w:pBdr>
          <w:bottom w:val="single" w:sz="8" w:space="0" w:color="FF6A00"/>
        </w:pBdr>
        <w:spacing w:before="80" w:after="160"/>
      </w:pPr>
    </w:p>
    <w:p w14:paraId="76C119F0" w14:textId="77777777" w:rsidR="00406539" w:rsidRDefault="00000000">
      <w:pPr>
        <w:spacing w:after="140" w:line="276" w:lineRule="auto"/>
      </w:pPr>
      <w:r>
        <w:t>«Open-</w:t>
      </w:r>
      <w:proofErr w:type="spellStart"/>
      <w:r>
        <w:t>weight</w:t>
      </w:r>
      <w:proofErr w:type="spellEnd"/>
      <w:r>
        <w:t>» describe la disponibilidad de los pesos, no un permiso comercial ilimitado. Antes de que cualquier modelo entre en producción para un cliente, su licencia se revisa y el resultado se documenta, conforme a LAB 14.</w:t>
      </w:r>
    </w:p>
    <w:p w14:paraId="690D04B5" w14:textId="77777777" w:rsidR="00406539" w:rsidRDefault="00000000">
      <w:pPr>
        <w:pStyle w:val="ListParagraph"/>
        <w:numPr>
          <w:ilvl w:val="0"/>
          <w:numId w:val="1"/>
        </w:numPr>
        <w:spacing w:after="90" w:line="270" w:lineRule="auto"/>
      </w:pPr>
      <w:r>
        <w:t xml:space="preserve">¿Permite uso comercial y servicio a terceros —que es lo que hace </w:t>
      </w:r>
      <w:proofErr w:type="spellStart"/>
      <w:r>
        <w:t>Vrutal</w:t>
      </w:r>
      <w:proofErr w:type="spellEnd"/>
      <w:r>
        <w:t>?</w:t>
      </w:r>
    </w:p>
    <w:p w14:paraId="337A875F" w14:textId="77777777" w:rsidR="00406539" w:rsidRDefault="00000000">
      <w:pPr>
        <w:pStyle w:val="ListParagraph"/>
        <w:numPr>
          <w:ilvl w:val="0"/>
          <w:numId w:val="1"/>
        </w:numPr>
        <w:spacing w:after="90" w:line="270" w:lineRule="auto"/>
      </w:pPr>
      <w:r>
        <w:t>¿Fija un umbral (ingresos, usuarios, escala) a partir del cual cambian las condiciones?</w:t>
      </w:r>
    </w:p>
    <w:p w14:paraId="7EA80566" w14:textId="77777777" w:rsidR="00406539" w:rsidRDefault="00000000">
      <w:pPr>
        <w:pStyle w:val="ListParagraph"/>
        <w:numPr>
          <w:ilvl w:val="0"/>
          <w:numId w:val="1"/>
        </w:numPr>
        <w:spacing w:after="90" w:line="270" w:lineRule="auto"/>
      </w:pPr>
      <w:r>
        <w:t>¿Restringe la redistribución o el fine-</w:t>
      </w:r>
      <w:proofErr w:type="spellStart"/>
      <w:r>
        <w:t>tuning</w:t>
      </w:r>
      <w:proofErr w:type="spellEnd"/>
      <w:r>
        <w:t>?</w:t>
      </w:r>
    </w:p>
    <w:p w14:paraId="0EE41B9C" w14:textId="77777777" w:rsidR="00406539" w:rsidRDefault="00000000">
      <w:pPr>
        <w:pStyle w:val="ListParagraph"/>
        <w:numPr>
          <w:ilvl w:val="0"/>
          <w:numId w:val="1"/>
        </w:numPr>
        <w:spacing w:after="90" w:line="270" w:lineRule="auto"/>
      </w:pPr>
      <w:r>
        <w:t>¿Impone obligaciones sobre el dato de entrada o de salida, o exige atribución?</w:t>
      </w:r>
    </w:p>
    <w:p w14:paraId="6003E565" w14:textId="77777777" w:rsidR="00406539" w:rsidRDefault="00000000">
      <w:pPr>
        <w:spacing w:after="140" w:line="276" w:lineRule="auto"/>
      </w:pPr>
      <w:r>
        <w:rPr>
          <w:i/>
          <w:iCs/>
          <w:color w:val="6B6B6B"/>
        </w:rPr>
        <w:lastRenderedPageBreak/>
        <w:t>La revisión se hace por modelo y por versión, nunca por proveedor: dos generaciones del mismo modelo pueden llevar licencias distintas. Sin el visto bueno registrado, el modelo no entra en producción, con independencia de que funcione.</w:t>
      </w:r>
    </w:p>
    <w:p w14:paraId="1084369A" w14:textId="77777777" w:rsidR="00406539" w:rsidRDefault="00000000">
      <w:pPr>
        <w:pStyle w:val="Heading1"/>
        <w:spacing w:before="340" w:after="140"/>
      </w:pPr>
      <w:r>
        <w:rPr>
          <w:b/>
          <w:bCs/>
          <w:color w:val="111111"/>
          <w:sz w:val="30"/>
          <w:szCs w:val="30"/>
        </w:rPr>
        <w:t>7 · Implicaciones de precio</w:t>
      </w:r>
    </w:p>
    <w:p w14:paraId="3B2F5C6E" w14:textId="77777777" w:rsidR="00406539" w:rsidRDefault="00406539">
      <w:pPr>
        <w:pBdr>
          <w:bottom w:val="single" w:sz="8" w:space="0" w:color="FF6A00"/>
        </w:pBdr>
        <w:spacing w:before="80" w:after="160"/>
      </w:pPr>
    </w:p>
    <w:p w14:paraId="22F9C16D" w14:textId="77777777" w:rsidR="00406539" w:rsidRDefault="00000000">
      <w:pPr>
        <w:spacing w:after="140" w:line="276" w:lineRule="auto"/>
      </w:pPr>
      <w:r>
        <w:t xml:space="preserve">La ruta privada no cambia la cuota del especialista —los tres </w:t>
      </w:r>
      <w:proofErr w:type="spellStart"/>
      <w:r>
        <w:t>tiers</w:t>
      </w:r>
      <w:proofErr w:type="spellEnd"/>
      <w:r>
        <w:t xml:space="preserve"> de LAB 13 se mantienen— sino que añade el coste fijo de la GPU como premium, trasladado al cliente y nunca subvencionado desde la base.</w:t>
      </w:r>
    </w:p>
    <w:p w14:paraId="627E47CA" w14:textId="77777777" w:rsidR="00406539" w:rsidRDefault="00000000">
      <w:pPr>
        <w:pStyle w:val="ListParagraph"/>
        <w:numPr>
          <w:ilvl w:val="0"/>
          <w:numId w:val="1"/>
        </w:numPr>
        <w:spacing w:after="90" w:line="270" w:lineRule="auto"/>
      </w:pPr>
      <w:r>
        <w:rPr>
          <w:b/>
          <w:bCs/>
        </w:rPr>
        <w:t xml:space="preserve">Opción B (compartida): </w:t>
      </w:r>
      <w:r>
        <w:t>el coste de la GPU se reparte entre clientes; el premium por cliente es reducido.</w:t>
      </w:r>
    </w:p>
    <w:p w14:paraId="2194FE61" w14:textId="77777777" w:rsidR="00406539" w:rsidRDefault="00000000">
      <w:pPr>
        <w:pStyle w:val="ListParagraph"/>
        <w:numPr>
          <w:ilvl w:val="0"/>
          <w:numId w:val="1"/>
        </w:numPr>
        <w:spacing w:after="90" w:line="270" w:lineRule="auto"/>
      </w:pPr>
      <w:r>
        <w:rPr>
          <w:b/>
          <w:bCs/>
        </w:rPr>
        <w:t xml:space="preserve">Opción C (dedicada): </w:t>
      </w:r>
      <w:r>
        <w:t>el cliente asume el coste íntegro de su GPU; el fine-</w:t>
      </w:r>
      <w:proofErr w:type="spellStart"/>
      <w:r>
        <w:t>tuning</w:t>
      </w:r>
      <w:proofErr w:type="spellEnd"/>
      <w:r>
        <w:t xml:space="preserve"> exclusivo puede elevar el cargo de alta.</w:t>
      </w:r>
    </w:p>
    <w:p w14:paraId="6BEF9B96" w14:textId="77777777" w:rsidR="00406539" w:rsidRDefault="00000000">
      <w:pPr>
        <w:pStyle w:val="ListParagraph"/>
        <w:numPr>
          <w:ilvl w:val="0"/>
          <w:numId w:val="1"/>
        </w:numPr>
        <w:spacing w:after="90" w:line="270" w:lineRule="auto"/>
      </w:pPr>
      <w:r>
        <w:rPr>
          <w:b/>
          <w:bCs/>
        </w:rPr>
        <w:t xml:space="preserve">Opción D (cliente </w:t>
      </w:r>
      <w:proofErr w:type="spellStart"/>
      <w:r>
        <w:rPr>
          <w:b/>
          <w:bCs/>
        </w:rPr>
        <w:t>autoaloja</w:t>
      </w:r>
      <w:proofErr w:type="spellEnd"/>
      <w:r>
        <w:rPr>
          <w:b/>
          <w:bCs/>
        </w:rPr>
        <w:t xml:space="preserve">): </w:t>
      </w:r>
      <w:r>
        <w:t xml:space="preserve">sin coste de GPU para </w:t>
      </w:r>
      <w:proofErr w:type="spellStart"/>
      <w:r>
        <w:t>Vrutal</w:t>
      </w:r>
      <w:proofErr w:type="spellEnd"/>
      <w:r>
        <w:t>; se cobra la línea de gestión e integración.</w:t>
      </w:r>
    </w:p>
    <w:p w14:paraId="6230CD37" w14:textId="77777777" w:rsidR="00406539" w:rsidRDefault="00000000">
      <w:pPr>
        <w:spacing w:after="140" w:line="276" w:lineRule="auto"/>
      </w:pPr>
      <w:r>
        <w:t xml:space="preserve">El punto de equilibrio de utilización por GPU y el sobreprecio final se cierran en LAB 13 · </w:t>
      </w:r>
      <w:proofErr w:type="spellStart"/>
      <w:r>
        <w:t>Finance</w:t>
      </w:r>
      <w:proofErr w:type="spellEnd"/>
      <w:r>
        <w:t xml:space="preserve"> contra coste real.</w:t>
      </w:r>
    </w:p>
    <w:p w14:paraId="053D9D69" w14:textId="77777777" w:rsidR="00406539" w:rsidRDefault="00000000">
      <w:pPr>
        <w:pStyle w:val="Heading1"/>
        <w:spacing w:before="340" w:after="140"/>
      </w:pPr>
      <w:r>
        <w:rPr>
          <w:b/>
          <w:bCs/>
          <w:color w:val="111111"/>
          <w:sz w:val="30"/>
          <w:szCs w:val="30"/>
        </w:rPr>
        <w:t>8 · Nota de vigencia</w:t>
      </w:r>
    </w:p>
    <w:p w14:paraId="27CC843C" w14:textId="77777777" w:rsidR="00406539" w:rsidRDefault="00406539">
      <w:pPr>
        <w:pBdr>
          <w:bottom w:val="single" w:sz="8" w:space="0" w:color="FF6A00"/>
        </w:pBdr>
        <w:spacing w:before="80" w:after="160"/>
      </w:pPr>
    </w:p>
    <w:p w14:paraId="6BF9C963" w14:textId="77777777" w:rsidR="00406539" w:rsidRDefault="00000000">
      <w:pPr>
        <w:spacing w:after="140" w:line="276" w:lineRule="auto"/>
      </w:pPr>
      <w:r>
        <w:t xml:space="preserve">El panorama de modelos open se mueve en semanas, no en años: durante 2026 se han sucedido </w:t>
      </w:r>
      <w:proofErr w:type="spellStart"/>
      <w:r>
        <w:t>DeepSeek</w:t>
      </w:r>
      <w:proofErr w:type="spellEnd"/>
      <w:r>
        <w:t xml:space="preserve"> V3.2 y V4, la línea Kimi hasta K3, y anuncios de </w:t>
      </w:r>
      <w:proofErr w:type="spellStart"/>
      <w:r>
        <w:t>Qwen</w:t>
      </w:r>
      <w:proofErr w:type="spellEnd"/>
      <w:r>
        <w:t>, entre otros. Este documento fija criterios de decisión, no una elección de modelo congelada. La capa de modelos como abstracción de LAB 08, Cap. 11, permite cambiar el modelo concreto detrás de la misma interfaz sin rediseñar cada especialista. Se revisa cuando cambia el mejor modelo open disponible para una clase de rol, no por calendario.</w:t>
      </w:r>
    </w:p>
    <w:sectPr w:rsidR="00406539">
      <w:pgSz w:w="11906" w:h="16838"/>
      <w:pgMar w:top="1400" w:right="1440" w:bottom="14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304A8"/>
    <w:multiLevelType w:val="hybridMultilevel"/>
    <w:tmpl w:val="9C3A0246"/>
    <w:lvl w:ilvl="0" w:tplc="8DB0FFC0">
      <w:start w:val="1"/>
      <w:numFmt w:val="bullet"/>
      <w:lvlText w:val="●"/>
      <w:lvlJc w:val="left"/>
      <w:pPr>
        <w:ind w:left="720" w:hanging="360"/>
      </w:pPr>
    </w:lvl>
    <w:lvl w:ilvl="1" w:tplc="1752ED70">
      <w:start w:val="1"/>
      <w:numFmt w:val="bullet"/>
      <w:lvlText w:val="○"/>
      <w:lvlJc w:val="left"/>
      <w:pPr>
        <w:ind w:left="1440" w:hanging="360"/>
      </w:pPr>
    </w:lvl>
    <w:lvl w:ilvl="2" w:tplc="7598CA3E">
      <w:start w:val="1"/>
      <w:numFmt w:val="bullet"/>
      <w:lvlText w:val="■"/>
      <w:lvlJc w:val="left"/>
      <w:pPr>
        <w:ind w:left="2160" w:hanging="360"/>
      </w:pPr>
    </w:lvl>
    <w:lvl w:ilvl="3" w:tplc="560EF06C">
      <w:start w:val="1"/>
      <w:numFmt w:val="bullet"/>
      <w:lvlText w:val="●"/>
      <w:lvlJc w:val="left"/>
      <w:pPr>
        <w:ind w:left="2880" w:hanging="360"/>
      </w:pPr>
    </w:lvl>
    <w:lvl w:ilvl="4" w:tplc="28FCCA70">
      <w:start w:val="1"/>
      <w:numFmt w:val="bullet"/>
      <w:lvlText w:val="○"/>
      <w:lvlJc w:val="left"/>
      <w:pPr>
        <w:ind w:left="3600" w:hanging="360"/>
      </w:pPr>
    </w:lvl>
    <w:lvl w:ilvl="5" w:tplc="C1D2318C">
      <w:start w:val="1"/>
      <w:numFmt w:val="bullet"/>
      <w:lvlText w:val="■"/>
      <w:lvlJc w:val="left"/>
      <w:pPr>
        <w:ind w:left="4320" w:hanging="360"/>
      </w:pPr>
    </w:lvl>
    <w:lvl w:ilvl="6" w:tplc="50A890E2">
      <w:start w:val="1"/>
      <w:numFmt w:val="bullet"/>
      <w:lvlText w:val="●"/>
      <w:lvlJc w:val="left"/>
      <w:pPr>
        <w:ind w:left="5040" w:hanging="360"/>
      </w:pPr>
    </w:lvl>
    <w:lvl w:ilvl="7" w:tplc="96B07E70">
      <w:start w:val="1"/>
      <w:numFmt w:val="bullet"/>
      <w:lvlText w:val="●"/>
      <w:lvlJc w:val="left"/>
      <w:pPr>
        <w:ind w:left="5760" w:hanging="360"/>
      </w:pPr>
    </w:lvl>
    <w:lvl w:ilvl="8" w:tplc="0EA2D5CE">
      <w:start w:val="1"/>
      <w:numFmt w:val="bullet"/>
      <w:lvlText w:val="●"/>
      <w:lvlJc w:val="left"/>
      <w:pPr>
        <w:ind w:left="6480" w:hanging="360"/>
      </w:pPr>
    </w:lvl>
  </w:abstractNum>
  <w:num w:numId="1" w16cid:durableId="2006981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539"/>
    <w:rsid w:val="00133DF3"/>
    <w:rsid w:val="00406539"/>
    <w:rsid w:val="00F27C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27B4"/>
  <w15:docId w15:val="{E7724B72-7F72-4843-8147-B35A4F81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111111"/>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1282</Words>
  <Characters>7054</Characters>
  <Application>Microsoft Office Word</Application>
  <DocSecurity>0</DocSecurity>
  <Lines>58</Lines>
  <Paragraphs>16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Privado de LLM — Necesidades y alternativas para clientes</dc:title>
  <dc:creator>Vrutal Labs</dc:creator>
  <cp:lastModifiedBy>Gonzalo Conde</cp:lastModifiedBy>
  <cp:revision>2</cp:revision>
  <dcterms:created xsi:type="dcterms:W3CDTF">2026-08-17T11:53:00Z</dcterms:created>
  <dcterms:modified xsi:type="dcterms:W3CDTF">2026-08-17T11:53:00Z</dcterms:modified>
</cp:coreProperties>
</file>