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1AC7E" w14:textId="77777777" w:rsidR="009418D5" w:rsidRDefault="00000000">
      <w:pPr>
        <w:spacing w:before="600" w:after="40"/>
        <w:jc w:val="center"/>
      </w:pPr>
      <w:r>
        <w:rPr>
          <w:color w:val="6B6B6B"/>
          <w:spacing w:val="20"/>
          <w:sz w:val="20"/>
          <w:szCs w:val="20"/>
        </w:rPr>
        <w:t>VRUTAL OS</w:t>
      </w:r>
    </w:p>
    <w:p w14:paraId="467317EB" w14:textId="77777777" w:rsidR="009418D5" w:rsidRDefault="00000000">
      <w:pPr>
        <w:spacing w:after="40"/>
        <w:jc w:val="center"/>
      </w:pPr>
      <w:r>
        <w:rPr>
          <w:b/>
          <w:bCs/>
          <w:sz w:val="40"/>
          <w:szCs w:val="40"/>
        </w:rPr>
        <w:t>LAB 02 · CONSTITUTION</w:t>
      </w:r>
    </w:p>
    <w:p w14:paraId="48696A69" w14:textId="77777777" w:rsidR="009418D5" w:rsidRDefault="00000000">
      <w:pPr>
        <w:spacing w:after="40"/>
        <w:jc w:val="center"/>
      </w:pPr>
      <w:r>
        <w:rPr>
          <w:sz w:val="26"/>
          <w:szCs w:val="26"/>
        </w:rPr>
        <w:t>La Constitución</w:t>
      </w:r>
    </w:p>
    <w:p w14:paraId="0F242865" w14:textId="77777777" w:rsidR="009418D5" w:rsidRDefault="00000000">
      <w:pPr>
        <w:spacing w:after="260"/>
        <w:jc w:val="center"/>
      </w:pPr>
      <w:r>
        <w:rPr>
          <w:i/>
          <w:iCs/>
          <w:color w:val="6B6B6B"/>
          <w:sz w:val="20"/>
          <w:szCs w:val="20"/>
        </w:rPr>
        <w:t>Donde los conceptos dejan de discutirse y empiezan a regir</w:t>
      </w:r>
    </w:p>
    <w:p w14:paraId="792E73E5" w14:textId="77777777" w:rsidR="009418D5" w:rsidRDefault="00000000">
      <w:pPr>
        <w:spacing w:after="40"/>
        <w:jc w:val="center"/>
      </w:pPr>
      <w:r>
        <w:rPr>
          <w:b/>
          <w:bCs/>
          <w:color w:val="6C4CFF"/>
          <w:sz w:val="20"/>
          <w:szCs w:val="20"/>
        </w:rPr>
        <w:t>Documento vivo · v0.3 — Títulos I, II, IV y V ratificados, en construcción</w:t>
      </w:r>
    </w:p>
    <w:p w14:paraId="062103CB" w14:textId="77777777" w:rsidR="009418D5" w:rsidRPr="00C00A66" w:rsidRDefault="00000000">
      <w:pPr>
        <w:spacing w:after="500"/>
        <w:jc w:val="center"/>
        <w:rPr>
          <w:lang w:val="en-US"/>
        </w:rPr>
      </w:pPr>
      <w:r>
        <w:rPr>
          <w:i/>
          <w:iCs/>
          <w:sz w:val="20"/>
          <w:szCs w:val="20"/>
          <w:lang w:val="en-US"/>
        </w:rPr>
        <w:t>Building Intelligent Companies.</w:t>
      </w:r>
    </w:p>
    <w:p w14:paraId="3B9B2FEE" w14:textId="77777777" w:rsidR="009418D5" w:rsidRPr="00C00A66" w:rsidRDefault="00000000">
      <w:pPr>
        <w:pBdr>
          <w:top w:val="single" w:sz="6" w:space="12" w:color="0B0C0F"/>
        </w:pBdr>
        <w:spacing w:after="30"/>
        <w:jc w:val="center"/>
        <w:rPr>
          <w:lang w:val="en-US"/>
        </w:rPr>
      </w:pPr>
      <w:r>
        <w:rPr>
          <w:b/>
          <w:bCs/>
          <w:lang w:val="en-US"/>
        </w:rPr>
        <w:t>VRUTAL CONSTITUTION</w:t>
      </w:r>
    </w:p>
    <w:p w14:paraId="4B8A853E" w14:textId="77777777" w:rsidR="009418D5" w:rsidRPr="00C00A66" w:rsidRDefault="00000000">
      <w:pPr>
        <w:spacing w:after="30"/>
        <w:jc w:val="center"/>
        <w:rPr>
          <w:lang w:val="en-US"/>
        </w:rPr>
      </w:pPr>
      <w:r>
        <w:rPr>
          <w:sz w:val="20"/>
          <w:szCs w:val="20"/>
          <w:lang w:val="en-US"/>
        </w:rPr>
        <w:t>VERSIÓN 0.3</w:t>
      </w:r>
    </w:p>
    <w:p w14:paraId="1C2675D1" w14:textId="77777777" w:rsidR="009418D5" w:rsidRDefault="00000000">
      <w:pPr>
        <w:spacing w:after="30"/>
        <w:jc w:val="center"/>
      </w:pPr>
      <w:r>
        <w:rPr>
          <w:color w:val="6B6B6B"/>
          <w:sz w:val="18"/>
          <w:szCs w:val="18"/>
        </w:rPr>
        <w:t>Estado: Artículos I–XIV ratificados (Títulos I, II, IV y V) · Títulos III, VI y VII pendientes</w:t>
      </w:r>
    </w:p>
    <w:p w14:paraId="0A8281AF" w14:textId="77777777" w:rsidR="009418D5" w:rsidRDefault="00000000">
      <w:pPr>
        <w:spacing w:after="30"/>
        <w:jc w:val="center"/>
      </w:pPr>
      <w:r>
        <w:rPr>
          <w:color w:val="6B6B6B"/>
          <w:sz w:val="18"/>
          <w:szCs w:val="18"/>
        </w:rPr>
        <w:t>Última actualización: 3 de septiembre de 2026</w:t>
      </w:r>
    </w:p>
    <w:p w14:paraId="4BB5D73D" w14:textId="77777777" w:rsidR="009418D5" w:rsidRDefault="00000000">
      <w:pPr>
        <w:pBdr>
          <w:bottom w:val="single" w:sz="6" w:space="12" w:color="0B0C0F"/>
        </w:pBdr>
        <w:jc w:val="center"/>
      </w:pPr>
      <w:r>
        <w:rPr>
          <w:color w:val="6B6B6B"/>
          <w:sz w:val="18"/>
          <w:szCs w:val="18"/>
        </w:rPr>
        <w:t>Barcelona, España</w:t>
      </w:r>
    </w:p>
    <w:p w14:paraId="1A0F0FA3" w14:textId="77777777" w:rsidR="009418D5" w:rsidRDefault="00000000">
      <w:r>
        <w:br w:type="page"/>
      </w:r>
    </w:p>
    <w:p w14:paraId="4ED796D6" w14:textId="77777777" w:rsidR="009418D5" w:rsidRDefault="00000000">
      <w:pPr>
        <w:pStyle w:val="Heading1"/>
        <w:spacing w:after="260"/>
      </w:pPr>
      <w:r>
        <w:rPr>
          <w:sz w:val="28"/>
          <w:szCs w:val="28"/>
        </w:rPr>
        <w:lastRenderedPageBreak/>
        <w:t>Índice general</w:t>
      </w:r>
    </w:p>
    <w:p w14:paraId="3FC2798B" w14:textId="77777777" w:rsidR="009418D5" w:rsidRDefault="00000000">
      <w:pPr>
        <w:spacing w:after="60"/>
      </w:pPr>
      <w:r>
        <w:rPr>
          <w:b/>
          <w:bCs/>
        </w:rPr>
        <w:t>Título Preliminar — Preámbulo</w:t>
      </w:r>
    </w:p>
    <w:p w14:paraId="22BD8F42" w14:textId="77777777" w:rsidR="009418D5" w:rsidRDefault="00000000">
      <w:pPr>
        <w:spacing w:after="60"/>
      </w:pPr>
      <w:r>
        <w:rPr>
          <w:b/>
          <w:bCs/>
        </w:rPr>
        <w:t xml:space="preserve">Título I — De la Filosofía</w:t>
      </w:r>
      <w:r>
        <w:rPr>
          <w:i/>
          <w:iCs/>
          <w:color w:val="6C4CFF"/>
          <w:sz w:val="18"/>
          <w:szCs w:val="18"/>
        </w:rPr>
        <w:t xml:space="preserve">  · ratificado</w:t>
      </w:r>
    </w:p>
    <w:p w14:paraId="5D2D8E92" w14:textId="77777777" w:rsidR="009418D5" w:rsidRDefault="00000000">
      <w:pPr>
        <w:spacing w:after="60"/>
        <w:ind w:left="360"/>
      </w:pPr>
      <w:r>
        <w:rPr>
          <w:sz w:val="20"/>
          <w:szCs w:val="20"/>
        </w:rPr>
        <w:t>Artículo I · De la Inercia Organizativa</w:t>
      </w:r>
    </w:p>
    <w:p w14:paraId="37C36EB3" w14:textId="77777777" w:rsidR="009418D5" w:rsidRDefault="00000000">
      <w:pPr>
        <w:spacing w:after="60"/>
        <w:ind w:left="360"/>
      </w:pPr>
      <w:r>
        <w:rPr>
          <w:sz w:val="20"/>
          <w:szCs w:val="20"/>
        </w:rPr>
        <w:t>Artículo II · De la Empresa Aumentada</w:t>
      </w:r>
    </w:p>
    <w:p w14:paraId="5F7AA5F0" w14:textId="77777777" w:rsidR="009418D5" w:rsidRDefault="00000000">
      <w:pPr>
        <w:spacing w:after="60"/>
        <w:ind w:left="360"/>
      </w:pPr>
      <w:r>
        <w:rPr>
          <w:sz w:val="20"/>
          <w:szCs w:val="20"/>
        </w:rPr>
        <w:t>Artículo III · De la Memoria Organizativa</w:t>
      </w:r>
    </w:p>
    <w:p w14:paraId="7F3CCB04" w14:textId="77777777" w:rsidR="009418D5" w:rsidRDefault="00000000">
      <w:pPr>
        <w:spacing w:after="60"/>
        <w:ind w:left="360"/>
      </w:pPr>
      <w:r>
        <w:rPr>
          <w:sz w:val="20"/>
          <w:szCs w:val="20"/>
        </w:rPr>
        <w:t>Artículo IV · Del Aprendizaje Continuo</w:t>
      </w:r>
    </w:p>
    <w:p w14:paraId="5A4548B2" w14:textId="77777777" w:rsidR="009418D5" w:rsidRDefault="00000000">
      <w:pPr>
        <w:spacing w:after="60"/>
      </w:pPr>
      <w:r>
        <w:rPr>
          <w:b/>
          <w:bCs/>
        </w:rPr>
        <w:t xml:space="preserve">Título II — De los Principios</w:t>
      </w:r>
      <w:r>
        <w:rPr>
          <w:i/>
          <w:iCs/>
          <w:color w:val="6C4CFF"/>
          <w:sz w:val="18"/>
          <w:szCs w:val="18"/>
        </w:rPr>
        <w:t xml:space="preserve">  · ratificado</w:t>
      </w:r>
    </w:p>
    <w:p w14:paraId="2F02B267" w14:textId="77777777" w:rsidR="009418D5" w:rsidRDefault="00000000">
      <w:pPr>
        <w:spacing w:after="60"/>
        <w:ind w:left="360"/>
      </w:pPr>
      <w:r>
        <w:rPr>
          <w:sz w:val="20"/>
          <w:szCs w:val="20"/>
        </w:rPr>
        <w:t>Artículo V · De la Curiosidad Radical</w:t>
      </w:r>
    </w:p>
    <w:p w14:paraId="1582D5D0" w14:textId="77777777" w:rsidR="009418D5" w:rsidRDefault="00000000">
      <w:pPr>
        <w:spacing w:after="60"/>
        <w:ind w:left="360"/>
      </w:pPr>
      <w:r>
        <w:rPr>
          <w:sz w:val="20"/>
          <w:szCs w:val="20"/>
        </w:rPr>
        <w:t>Artículo VI · De la Honestidad Intelectual</w:t>
      </w:r>
    </w:p>
    <w:p w14:paraId="57514F79" w14:textId="77777777" w:rsidR="009418D5" w:rsidRDefault="00000000">
      <w:pPr>
        <w:spacing w:after="60"/>
        <w:ind w:left="360"/>
      </w:pPr>
      <w:r>
        <w:rPr>
          <w:sz w:val="20"/>
          <w:szCs w:val="20"/>
        </w:rPr>
        <w:t>Artículo VII · De la Excelencia Obsesiva</w:t>
      </w:r>
    </w:p>
    <w:p w14:paraId="6562B6A9" w14:textId="77777777" w:rsidR="009418D5" w:rsidRDefault="00000000">
      <w:pPr>
        <w:spacing w:after="60"/>
        <w:ind w:left="360"/>
      </w:pPr>
      <w:r>
        <w:rPr>
          <w:sz w:val="20"/>
          <w:szCs w:val="20"/>
        </w:rPr>
        <w:t>Artículo VIII · De la Simplicidad</w:t>
      </w:r>
    </w:p>
    <w:p w14:paraId="17066C34" w14:textId="77777777" w:rsidR="009418D5" w:rsidRDefault="00000000">
      <w:pPr>
        <w:spacing w:after="60"/>
        <w:ind w:left="360"/>
      </w:pPr>
      <w:r>
        <w:rPr>
          <w:sz w:val="20"/>
          <w:szCs w:val="20"/>
        </w:rPr>
        <w:t>Artículo IX · De la Evolución Constante</w:t>
      </w:r>
    </w:p>
    <w:p w14:paraId="6C71D590" w14:textId="77777777" w:rsidR="009418D5" w:rsidRDefault="00000000">
      <w:pPr>
        <w:spacing w:after="60"/>
        <w:ind w:left="360"/>
      </w:pPr>
      <w:r>
        <w:rPr>
          <w:sz w:val="20"/>
          <w:szCs w:val="20"/>
        </w:rPr>
        <w:t>Artículo X · De la Libertad</w:t>
      </w:r>
    </w:p>
    <w:p w14:paraId="661AEADF" w14:textId="77777777" w:rsidR="009418D5" w:rsidRDefault="00000000">
      <w:pPr>
        <w:spacing w:after="60"/>
        <w:ind w:left="360"/>
      </w:pPr>
      <w:r>
        <w:rPr>
          <w:sz w:val="20"/>
          <w:szCs w:val="20"/>
        </w:rPr>
        <w:t>Artículo XI · Del Impacto Real</w:t>
      </w:r>
    </w:p>
    <w:p w14:paraId="31B16D11" w14:textId="77777777" w:rsidR="009418D5" w:rsidRDefault="00000000">
      <w:pPr>
        <w:spacing w:after="60"/>
      </w:pPr>
      <w:r>
        <w:rPr>
          <w:b/>
          <w:bCs/>
        </w:rPr>
        <w:t xml:space="preserve">Título III — De la Cultura</w:t>
      </w:r>
      <w:r>
        <w:rPr>
          <w:i/>
          <w:iCs/>
          <w:color w:val="6B6B6B"/>
          <w:sz w:val="18"/>
          <w:szCs w:val="18"/>
        </w:rPr>
        <w:t xml:space="preserve">  · pendiente</w:t>
      </w:r>
    </w:p>
    <w:p w14:paraId="7EB1E8E8" w14:textId="77777777" w:rsidR="009418D5" w:rsidRDefault="00000000">
      <w:pPr>
        <w:spacing w:after="60"/>
      </w:pPr>
      <w:r>
        <w:rPr>
          <w:b/>
          <w:bCs/>
        </w:rPr>
        <w:t xml:space="preserve">Título IV — De las Leyes Internas</w:t>
      </w:r>
      <w:r>
        <w:rPr>
          <w:i/>
          <w:iCs/>
          <w:color w:val="6C4CFF"/>
          <w:sz w:val="18"/>
          <w:szCs w:val="18"/>
        </w:rPr>
        <w:t xml:space="preserve">  · ratificado</w:t>
      </w:r>
    </w:p>
    <w:p>
      <w:pPr>
        <w:spacing w:after="60"/>
        <w:ind w:left="360"/>
      </w:pPr>
      <w:r>
        <w:rPr>
          <w:sz w:val="20"/>
          <w:szCs w:val="20"/>
        </w:rPr>
        <w:t>Artículo XII · Del Proceso sobre la Persona</w:t>
      </w:r>
    </w:p>
    <w:p>
      <w:pPr>
        <w:spacing w:after="60"/>
        <w:ind w:left="360"/>
      </w:pPr>
      <w:r>
        <w:rPr>
          <w:sz w:val="20"/>
          <w:szCs w:val="20"/>
        </w:rPr>
        <w:t>Artículo XIII · De la Documentación Viva</w:t>
      </w:r>
    </w:p>
    <w:p w14:paraId="0A411448" w14:textId="77777777" w:rsidR="009418D5" w:rsidRDefault="00000000">
      <w:pPr>
        <w:spacing w:after="60"/>
      </w:pPr>
      <w:r>
        <w:rPr>
          <w:b/>
          <w:bCs/>
        </w:rPr>
        <w:t xml:space="preserve">Título V — Del Sistema de Decisión</w:t>
      </w:r>
      <w:r>
        <w:rPr>
          <w:i/>
          <w:iCs/>
          <w:color w:val="6C4CFF"/>
          <w:sz w:val="18"/>
          <w:szCs w:val="18"/>
        </w:rPr>
        <w:t xml:space="preserve">  · ratificado</w:t>
      </w:r>
    </w:p>
    <w:p>
      <w:pPr>
        <w:spacing w:after="60"/>
        <w:ind w:left="360"/>
      </w:pPr>
      <w:r>
        <w:rPr>
          <w:sz w:val="20"/>
          <w:szCs w:val="20"/>
        </w:rPr>
        <w:t>Artículo XIV · Del Alcance de Decisión</w:t>
      </w:r>
    </w:p>
    <w:p w14:paraId="7DB3B557" w14:textId="77777777" w:rsidR="009418D5" w:rsidRDefault="00000000">
      <w:pPr>
        <w:spacing w:after="60"/>
      </w:pPr>
      <w:r>
        <w:rPr>
          <w:b/>
          <w:bCs/>
        </w:rPr>
        <w:t xml:space="preserve">Título VI — De los Derechos y las Responsabilidades</w:t>
      </w:r>
      <w:r>
        <w:rPr>
          <w:i/>
          <w:iCs/>
          <w:color w:val="6B6B6B"/>
          <w:sz w:val="18"/>
          <w:szCs w:val="18"/>
        </w:rPr>
        <w:t xml:space="preserve">  · pendiente</w:t>
      </w:r>
    </w:p>
    <w:p w14:paraId="7240CABB" w14:textId="77777777" w:rsidR="009418D5" w:rsidRDefault="00000000">
      <w:pPr>
        <w:spacing w:after="60"/>
      </w:pPr>
      <w:r>
        <w:rPr>
          <w:b/>
          <w:bCs/>
        </w:rPr>
        <w:t xml:space="preserve">Título VII — De las Definiciones</w:t>
      </w:r>
      <w:r>
        <w:rPr>
          <w:i/>
          <w:iCs/>
          <w:color w:val="6B6B6B"/>
          <w:sz w:val="18"/>
          <w:szCs w:val="18"/>
        </w:rPr>
        <w:t xml:space="preserve">  · pendiente</w:t>
      </w:r>
    </w:p>
    <w:p w14:paraId="3AAE5927" w14:textId="77777777" w:rsidR="009418D5" w:rsidRDefault="00000000">
      <w:pPr>
        <w:spacing w:after="200"/>
      </w:pPr>
      <w:r>
        <w:rPr>
          <w:b/>
          <w:bCs/>
        </w:rPr>
        <w:t>Disposición Final — Estado de la Constitución</w:t>
      </w:r>
    </w:p>
    <w:p w14:paraId="4D9EF254" w14:textId="77777777" w:rsidR="009418D5" w:rsidRDefault="00000000">
      <w:r>
        <w:br w:type="page"/>
      </w:r>
    </w:p>
    <w:p w14:paraId="65C34D17" w14:textId="77777777" w:rsidR="009418D5" w:rsidRDefault="00000000">
      <w:pPr>
        <w:pStyle w:val="Heading1"/>
        <w:pBdr>
          <w:bottom w:val="single" w:sz="10" w:space="6" w:color="6C4CFF"/>
        </w:pBdr>
        <w:spacing w:after="200"/>
      </w:pPr>
      <w:r>
        <w:lastRenderedPageBreak/>
        <w:t>TÍTULO PRELIMINAR — PREÁMBULO</w:t>
      </w:r>
    </w:p>
    <w:p w14:paraId="10715DA0" w14:textId="77777777" w:rsidR="009418D5" w:rsidRDefault="00000000">
      <w:pPr>
        <w:spacing w:after="200" w:line="300" w:lineRule="auto"/>
      </w:pPr>
      <w:r>
        <w:t xml:space="preserve">Esta Constitución es la ley interna de Vrutal. No explica: define. No persuade: establece. Su función no es convencer a quien la lee, sino fijar, con la menor ambigüedad posible, lo que Vrutal es y cómo opera cuando nadie está observando.</w:t>
      </w:r>
    </w:p>
    <w:p w14:paraId="682176AC" w14:textId="77777777" w:rsidR="009418D5" w:rsidRDefault="00000000">
      <w:pPr>
        <w:spacing w:after="200" w:line="300" w:lineRule="auto"/>
      </w:pPr>
      <w:r>
        <w:t xml:space="preserve">Ningún artículo de este documento nace aquí. Cada uno ha vivido antes en otro laboratorio del sistema — LAB 05 · Philosophy para los conceptos propios, LAB 03 · Brand para los valores de marca —, donde una idea se discute, se pone a prueba y puede contradecirse a sí misma de una versión a otra sin que eso constituya un fallo. Solo cuando un concepto o un valor demuestra un carácter estable se propone como artículo de esta Constitución.</w:t>
      </w:r>
    </w:p>
    <w:p w14:paraId="66D2A37C" w14:textId="77777777" w:rsidR="009418D5" w:rsidRDefault="00000000">
      <w:pPr>
        <w:spacing w:after="200" w:line="300" w:lineRule="auto"/>
      </w:pPr>
      <w:r>
        <w:t>A partir de ese momento rigen dos regímenes distintos sobre la misma idea. Mientras vivía en su laboratorio de origen, todo evolucionaba, conforme al Principio III de VRUTAL OS. Desde que ingresa aquí, deja de evolucionar salvo decisión excepcional — el mismo tránsito de borrador a ley que exige cualquier sistema constitucional serio.</w:t>
      </w:r>
    </w:p>
    <w:p w14:paraId="39D6C7AE" w14:textId="77777777" w:rsidR="009418D5" w:rsidRDefault="00000000">
      <w:pPr>
        <w:spacing w:after="200" w:line="300" w:lineRule="auto"/>
      </w:pPr>
      <w:r>
        <w:t>Esta Constitución es, en cualquier fecha dada, un documento necesariamente incompleto — y esa incompletitud queda declarada, no disimulada. Los títulos que siguen tomarán forma artículo a artículo, en el orden en que cada concepto complete su propio recorrido, nunca por volumen ni por calendario.</w:t>
      </w:r>
    </w:p>
    <w:p w14:paraId="7FB72CCF" w14:textId="77777777" w:rsidR="009418D5" w:rsidRDefault="00000000">
      <w:r>
        <w:br w:type="page"/>
      </w:r>
    </w:p>
    <w:p w14:paraId="313EEFCB" w14:textId="77777777" w:rsidR="009418D5" w:rsidRDefault="00000000">
      <w:pPr>
        <w:pStyle w:val="Heading1"/>
        <w:pBdr>
          <w:bottom w:val="single" w:sz="10" w:space="6" w:color="6C4CFF"/>
        </w:pBdr>
        <w:spacing w:before="520"/>
      </w:pPr>
      <w:r>
        <w:lastRenderedPageBreak/>
        <w:t>TÍTULO I — DE LA FILOSOFÍA</w:t>
      </w:r>
      <w:r>
        <w:rPr>
          <w:b w:val="0"/>
          <w:bCs w:val="0"/>
          <w:color w:val="6C4CFF"/>
          <w:sz w:val="20"/>
          <w:szCs w:val="20"/>
        </w:rPr>
        <w:t xml:space="preserve">   · ratificado</w:t>
      </w:r>
    </w:p>
    <w:p w14:paraId="56821C7B" w14:textId="77777777" w:rsidR="009418D5" w:rsidRDefault="00000000">
      <w:pPr>
        <w:spacing w:after="200" w:line="300" w:lineRule="auto"/>
      </w:pPr>
      <w:r>
        <w:t xml:space="preserve">El presente título recoge los conceptos que, nacidos en LAB 05 · Philosophy, han superado de forma estable las cinco lecturas hostiles fijadas en dicho laboratorio y quedan, desde esta versión, incorporados como ley interna de Vrutal.</w:t>
      </w:r>
    </w:p>
    <w:p w14:paraId="588B7D70" w14:textId="77777777" w:rsidR="009418D5" w:rsidRDefault="00000000">
      <w:pPr>
        <w:pStyle w:val="Heading2"/>
        <w:spacing w:before="320" w:after="140"/>
      </w:pPr>
      <w:r>
        <w:t>Artículo I · De la Inercia Organizativa</w:t>
      </w:r>
    </w:p>
    <w:p w14:paraId="7A581AF5" w14:textId="77777777" w:rsidR="009418D5" w:rsidRDefault="00000000">
      <w:pPr>
        <w:spacing w:after="200" w:line="300" w:lineRule="auto"/>
      </w:pPr>
      <w:r>
        <w:t xml:space="preserve">Vrutal reconoce en la Inercia Organizativa la enfermedad estructural que amenaza a toda empresa que crece añadiendo personas, departamentos y niveles de aprobación sin rediseñar su forma de decidir. Esta inercia no nace de la mala gestión: se instala decisión razonable tras decisión razonable, hasta que la organización deja de producir valor y empieza a producir, en su lugar, la gestión de su propia complejidad. Cuanto mayor ha sido el éxito alcanzado antes de su aparición, mayor es el coste de revertirla. Vrutal no compite contra otras empresas del sector: combate esta inercia, en sí misma y en cada organización con la que trabaja.</w:t>
      </w:r>
    </w:p>
    <w:p w14:paraId="210F3113" w14:textId="77777777" w:rsidR="009418D5" w:rsidRDefault="00000000">
      <w:pPr>
        <w:spacing w:after="320"/>
      </w:pPr>
      <w:r>
        <w:rPr>
          <w:i/>
          <w:iCs/>
          <w:color w:val="6B6B6B"/>
          <w:sz w:val="18"/>
          <w:szCs w:val="18"/>
        </w:rPr>
        <w:t>Fundamento: LAB 05, Capítulo 3. Justifica el método de auditoría fijado en LAB 08, Capítulo 15.</w:t>
      </w:r>
    </w:p>
    <w:p w14:paraId="5EDA7A58" w14:textId="77777777" w:rsidR="009418D5" w:rsidRDefault="00000000">
      <w:pPr>
        <w:pStyle w:val="Heading2"/>
        <w:spacing w:before="320" w:after="140"/>
      </w:pPr>
      <w:r>
        <w:t>Artículo II · De la Empresa Aumentada</w:t>
      </w:r>
    </w:p>
    <w:p w14:paraId="7E947701" w14:textId="77777777" w:rsidR="009418D5" w:rsidRDefault="00000000">
      <w:pPr>
        <w:spacing w:after="200" w:line="300" w:lineRule="auto"/>
      </w:pPr>
      <w:r>
        <w:t xml:space="preserve">Vrutal entiende por Empresa Aumentada aquella organización en la que personas y especialistas de inteligencia artificial trabajan coordinados bajo un alcance de decisión explícito, con un límite igualmente explícito de escalado a una persona cuando ese alcance se agota. La Empresa Aumentada no automatiza el juicio: lo multiplica. Todo sistema que, al retirar a la persona, hace desaparecer no solo la ejecución sino el juicio mismo, no constituye aumentación sino automatización disfrazada, y Vrutal no la construye ni la comercializa. Bajo este principio, crecer en capacidad deja de exigir, por necesidad, crecer en complejidad.</w:t>
      </w:r>
    </w:p>
    <w:p w14:paraId="20A656EE" w14:textId="77777777" w:rsidR="009418D5" w:rsidRDefault="00000000">
      <w:pPr>
        <w:spacing w:after="320"/>
      </w:pPr>
      <w:r>
        <w:rPr>
          <w:i/>
          <w:iCs/>
          <w:color w:val="6B6B6B"/>
          <w:sz w:val="18"/>
          <w:szCs w:val="18"/>
        </w:rPr>
        <w:t xml:space="preserve">Fundamento: LAB 05, Capítulo 5. Se opera en LAB 07 · Agents.</w:t>
      </w:r>
    </w:p>
    <w:p w14:paraId="28619BCA" w14:textId="77777777" w:rsidR="009418D5" w:rsidRDefault="00000000">
      <w:pPr>
        <w:pStyle w:val="Heading2"/>
        <w:spacing w:before="320" w:after="140"/>
      </w:pPr>
      <w:r>
        <w:t>Artículo III · De la Memoria Organizativa</w:t>
      </w:r>
    </w:p>
    <w:p w14:paraId="43A2581E" w14:textId="77777777" w:rsidR="009418D5" w:rsidRDefault="00000000">
      <w:pPr>
        <w:spacing w:after="200" w:line="300" w:lineRule="auto"/>
      </w:pPr>
      <w:r>
        <w:t xml:space="preserve">Vrutal establece que el conocimiento generado por la organización pertenece al sistema que lo produce, y no a la persona que lo generó, y debe permanecer disponible aun cuando esa persona cambie de rol, de responsabilidad, o abandone la organización. La Memoria Organizativa se distingue del simple archivo en que se recupera por relevancia y no por ubicación exacta: presenta lo que la organización ya sabe, aunque quien pregunta no supiera que debía buscarlo. Todo fallo corregido en silencio, sin quedar documentado, constituye memoria que la organización pagó y decidió no conservar.</w:t>
      </w:r>
    </w:p>
    <w:p w14:paraId="461B5888" w14:textId="77777777" w:rsidR="009418D5" w:rsidRDefault="00000000">
      <w:pPr>
        <w:spacing w:after="320"/>
      </w:pPr>
      <w:r>
        <w:rPr>
          <w:i/>
          <w:iCs/>
          <w:color w:val="6B6B6B"/>
          <w:sz w:val="18"/>
          <w:szCs w:val="18"/>
        </w:rPr>
        <w:t>Fundamento: LAB 05, Capítulo 8. Se opera en LAB 08, Capítulos 8 y 13.</w:t>
      </w:r>
    </w:p>
    <w:p w14:paraId="222026E2" w14:textId="77777777" w:rsidR="009418D5" w:rsidRDefault="00000000">
      <w:pPr>
        <w:pStyle w:val="Heading2"/>
        <w:spacing w:before="320" w:after="140"/>
      </w:pPr>
      <w:r>
        <w:t>Artículo IV · Del Aprendizaje Continuo</w:t>
      </w:r>
    </w:p>
    <w:p w14:paraId="46807EE6" w14:textId="77777777" w:rsidR="009418D5" w:rsidRDefault="00000000">
      <w:pPr>
        <w:spacing w:after="200" w:line="300" w:lineRule="auto"/>
      </w:pPr>
      <w:r>
        <w:t xml:space="preserve">Vrutal declara que ninguna idea existe plenamente para la organización hasta completar su recorrido: de idea a investigación, hipótesis, experimento, validación, documentación, implementación, automatización, mejora continua y memoria permanente. Esta última etapa es obligatoria, no opcional: sin ella, todo aprendizaje se pierde en la siguiente reorganización y se </w:t>
        <w:lastRenderedPageBreak/>
        <w:t>repite, con distinta gente, como si fuera la primera vez. El Aprendizaje Continuo es el mecanismo por el cual una idea validada se convierte, con el tiempo, en la infraestructura que ya no se cuestiona a diario.</w:t>
      </w:r>
    </w:p>
    <w:p w14:paraId="4A910C61" w14:textId="77777777" w:rsidR="009418D5" w:rsidRDefault="00000000">
      <w:pPr>
        <w:spacing w:after="320"/>
      </w:pPr>
      <w:r>
        <w:rPr>
          <w:i/>
          <w:iCs/>
          <w:color w:val="6B6B6B"/>
          <w:sz w:val="18"/>
          <w:szCs w:val="18"/>
        </w:rPr>
        <w:t>Fundamento: LAB 05, Capítulo 9. Ciclo operativo fijado en LAB 00 · OS.</w:t>
      </w:r>
    </w:p>
    <w:p w14:paraId="3994C260" w14:textId="77777777" w:rsidR="009418D5" w:rsidRDefault="009418D5">
      <w:pPr>
        <w:pBdr>
          <w:bottom w:val="single" w:sz="4" w:space="4" w:color="D8D8D4"/>
        </w:pBdr>
        <w:spacing w:before="100" w:after="260"/>
      </w:pPr>
    </w:p>
    <w:p w14:paraId="1AF1AE40" w14:textId="77777777" w:rsidR="009418D5" w:rsidRDefault="00000000">
      <w:pPr>
        <w:spacing w:after="200" w:line="300" w:lineRule="auto"/>
      </w:pPr>
      <w:r>
        <w:t xml:space="preserve">Dos conceptos adicionales — </w:t>
      </w:r>
      <w:r>
        <w:rPr>
          <w:i/>
          <w:iCs/>
        </w:rPr>
        <w:t>Sinapsis</w:t>
      </w:r>
      <w:r>
        <w:t xml:space="preserve"> y </w:t>
      </w:r>
      <w:r>
        <w:rPr>
          <w:i/>
          <w:iCs/>
        </w:rPr>
        <w:t>Organismo Inteligente</w:t>
      </w:r>
      <w:r>
        <w:t xml:space="preserve"> — permanecen en desarrollo en LAB 05 y no se incorporan en esta versión. Su protocolo o su representación visual ya están maduros; su lectura conceptual queda pendiente de más casos reales de Vrutal-lab en producción. Se incorporarán a este título en cuanto completen su propio recorrido.</w:t>
      </w:r>
    </w:p>
    <w:p w14:paraId="44B68AC4" w14:textId="77777777" w:rsidR="009418D5" w:rsidRDefault="00000000">
      <w:r>
        <w:br w:type="page"/>
      </w:r>
    </w:p>
    <w:p w14:paraId="29F65FEA" w14:textId="77777777" w:rsidR="009418D5" w:rsidRDefault="00000000">
      <w:pPr>
        <w:pStyle w:val="Heading1"/>
        <w:pBdr>
          <w:bottom w:val="single" w:sz="10" w:space="6" w:color="6C4CFF"/>
        </w:pBdr>
        <w:spacing w:before="520"/>
      </w:pPr>
      <w:r>
        <w:lastRenderedPageBreak/>
        <w:t>TÍTULO II — DE LOS PRINCIPIOS</w:t>
      </w:r>
      <w:r>
        <w:rPr>
          <w:b w:val="0"/>
          <w:bCs w:val="0"/>
          <w:color w:val="6C4CFF"/>
          <w:sz w:val="20"/>
          <w:szCs w:val="20"/>
        </w:rPr>
        <w:t xml:space="preserve">   · ratificado</w:t>
      </w:r>
    </w:p>
    <w:p w14:paraId="6BCA5E42" w14:textId="77777777" w:rsidR="009418D5" w:rsidRDefault="00000000">
      <w:pPr>
        <w:spacing w:after="200" w:line="300" w:lineRule="auto"/>
      </w:pPr>
      <w:r>
        <w:t xml:space="preserve">El presente título recoge, como ley interna de Vrutal, los siete valores ya fijados en LAB 03 · Brand. Su formalización aquí no los redefine: cada uno conserva un único hogar conceptual en LAB 03, y este título se limita a ratificar su carácter vinculante — el paso de valor de marca a principio inmutable de la organización.</w:t>
      </w:r>
    </w:p>
    <w:p w14:paraId="4D8F0A67" w14:textId="77777777" w:rsidR="009418D5" w:rsidRDefault="00000000">
      <w:pPr>
        <w:pStyle w:val="Heading2"/>
        <w:spacing w:before="320" w:after="140"/>
      </w:pPr>
      <w:r>
        <w:t>Artículo V · De la Curiosidad Radical</w:t>
      </w:r>
    </w:p>
    <w:p w14:paraId="038EF826" w14:textId="77777777" w:rsidR="009418D5" w:rsidRDefault="00000000">
      <w:pPr>
        <w:spacing w:after="200" w:line="300" w:lineRule="auto"/>
      </w:pPr>
      <w:r>
        <w:t xml:space="preserve">Vrutal no da nunca una pregunta por agotada. Ninguna respuesta, por asentada que parezca, queda exenta de revisión cuando aparece un dato nuevo. Este principio obliga a Vrutal, y a cada especialista que opera en su nombre, a seguir preguntando incluso después de haber encontrado una respuesta que funciona.</w:t>
      </w:r>
    </w:p>
    <w:p w14:paraId="1ED27E68" w14:textId="77777777" w:rsidR="009418D5" w:rsidRDefault="00000000">
      <w:pPr>
        <w:spacing w:after="320"/>
      </w:pPr>
      <w:r>
        <w:rPr>
          <w:i/>
          <w:iCs/>
          <w:color w:val="6B6B6B"/>
          <w:sz w:val="18"/>
          <w:szCs w:val="18"/>
        </w:rPr>
        <w:t>Fundamento: LAB 03 · Brand.</w:t>
      </w:r>
    </w:p>
    <w:p w14:paraId="0C4822E4" w14:textId="77777777" w:rsidR="009418D5" w:rsidRDefault="00000000">
      <w:pPr>
        <w:pStyle w:val="Heading2"/>
        <w:spacing w:before="320" w:after="140"/>
      </w:pPr>
      <w:r>
        <w:t>Artículo VI · De la Honestidad Intelectual</w:t>
      </w:r>
    </w:p>
    <w:p w14:paraId="466F46C4" w14:textId="77777777" w:rsidR="009418D5" w:rsidRDefault="00000000">
      <w:pPr>
        <w:spacing w:after="200" w:line="300" w:lineRule="auto"/>
      </w:pPr>
      <w:r>
        <w:t xml:space="preserve">Vrutal coloca los datos por encima del criterio de quien los interpreta. Cuando la evidencia contradice una decisión ya tomada, es la decisión la que estaba equivocada, no la evidencia. Ningún especialista, humano o de inteligencia artificial, estima un dato que no tiene para parecer útil, ni oculta un error propio: un fallo no documentado es memoria que Vrutal pagó y decidió no conservar, conforme al Artículo III.</w:t>
      </w:r>
    </w:p>
    <w:p w14:paraId="35FAA10C" w14:textId="77777777" w:rsidR="009418D5" w:rsidRDefault="00000000">
      <w:pPr>
        <w:spacing w:after="320"/>
      </w:pPr>
      <w:r>
        <w:rPr>
          <w:i/>
          <w:iCs/>
          <w:color w:val="6B6B6B"/>
          <w:sz w:val="18"/>
          <w:szCs w:val="18"/>
        </w:rPr>
        <w:t>Fundamento: LAB 03 · Brand. Véase Artículo III.</w:t>
      </w:r>
    </w:p>
    <w:p w14:paraId="6B012D03" w14:textId="77777777" w:rsidR="009418D5" w:rsidRDefault="00000000">
      <w:pPr>
        <w:pStyle w:val="Heading2"/>
        <w:spacing w:before="320" w:after="140"/>
      </w:pPr>
      <w:r>
        <w:t>Artículo VII · De la Excelencia Obsesiva</w:t>
      </w:r>
    </w:p>
    <w:p w14:paraId="2728BC42" w14:textId="77777777" w:rsidR="009418D5" w:rsidRDefault="00000000">
      <w:pPr>
        <w:spacing w:after="200" w:line="300" w:lineRule="auto"/>
      </w:pPr>
      <w:r>
        <w:t xml:space="preserve">Vrutal rehace todo aquello que puede hacerse mejor, en lugar de entregarlo a medias. Este principio rige tanto el trabajo de cara al cliente como la propia arquitectura documental de Vrutal: ningún artículo de esta Constitución llega a esta versión sin haber sobrevivido primero a las cinco lecturas hostiles fijadas en LAB 05, Capítulo 2.</w:t>
      </w:r>
    </w:p>
    <w:p w14:paraId="60CB06AB" w14:textId="77777777" w:rsidR="009418D5" w:rsidRDefault="00000000">
      <w:pPr>
        <w:spacing w:after="320"/>
      </w:pPr>
      <w:r>
        <w:rPr>
          <w:i/>
          <w:iCs/>
          <w:color w:val="6B6B6B"/>
          <w:sz w:val="18"/>
          <w:szCs w:val="18"/>
        </w:rPr>
        <w:t>Fundamento: LAB 03 · Brand.</w:t>
      </w:r>
    </w:p>
    <w:p w14:paraId="67CBAE07" w14:textId="77777777" w:rsidR="009418D5" w:rsidRDefault="00000000">
      <w:pPr>
        <w:pStyle w:val="Heading2"/>
        <w:spacing w:before="320" w:after="140"/>
      </w:pPr>
      <w:r>
        <w:t>Artículo VIII · De la Simplicidad</w:t>
      </w:r>
    </w:p>
    <w:p w14:paraId="0BE02F91" w14:textId="77777777" w:rsidR="009418D5" w:rsidRDefault="00000000">
      <w:pPr>
        <w:spacing w:after="200" w:line="300" w:lineRule="auto"/>
      </w:pPr>
      <w:r>
        <w:t xml:space="preserve">Vrutal considera la complejidad un fallo de diseño, no una señal de rigor. Todo documento, proceso o sistema que necesite demasiadas explicaciones para entenderse no está terminado. Ante un conflicto entre sofisticación y simplicidad, prevalece la simplicidad.</w:t>
      </w:r>
    </w:p>
    <w:p w14:paraId="328D8C2B" w14:textId="77777777" w:rsidR="009418D5" w:rsidRDefault="00000000">
      <w:pPr>
        <w:spacing w:after="320"/>
      </w:pPr>
      <w:r>
        <w:rPr>
          <w:i/>
          <w:iCs/>
          <w:color w:val="6B6B6B"/>
          <w:sz w:val="18"/>
          <w:szCs w:val="18"/>
        </w:rPr>
        <w:t>Fundamento: LAB 03 · Brand.</w:t>
      </w:r>
    </w:p>
    <w:p w14:paraId="7B4713D3" w14:textId="77777777" w:rsidR="009418D5" w:rsidRDefault="00000000">
      <w:pPr>
        <w:pStyle w:val="Heading2"/>
        <w:spacing w:before="320" w:after="140"/>
      </w:pPr>
      <w:r>
        <w:t>Artículo IX · De la Evolución Constante</w:t>
      </w:r>
    </w:p>
    <w:p w14:paraId="70D08D6B" w14:textId="77777777" w:rsidR="009418D5" w:rsidRDefault="00000000">
      <w:pPr>
        <w:spacing w:after="200" w:line="300" w:lineRule="auto"/>
      </w:pPr>
      <w:r>
        <w:t xml:space="preserve">Vrutal no considera nada definitivo. Cada decisión, cada documento y cada sistema admite una versión mejor, y cada modificación queda registrada como tal — nunca como una sobrescritura silenciosa. Esta misma Constitución se rige por esa regla: los títulos que hoy permanecen pendientes tomarán forma en cuanto los conceptos que los originan completen su recorrido.</w:t>
      </w:r>
    </w:p>
    <w:p w14:paraId="0BCE472C" w14:textId="77777777" w:rsidR="009418D5" w:rsidRDefault="00000000">
      <w:pPr>
        <w:spacing w:after="320"/>
      </w:pPr>
      <w:r>
        <w:rPr>
          <w:i/>
          <w:iCs/>
          <w:color w:val="6B6B6B"/>
          <w:sz w:val="18"/>
          <w:szCs w:val="18"/>
        </w:rPr>
        <w:lastRenderedPageBreak/>
        <w:t>Fundamento: LAB 03 · Brand.</w:t>
      </w:r>
    </w:p>
    <w:p w14:paraId="038D1BDC" w14:textId="77777777" w:rsidR="009418D5" w:rsidRDefault="00000000">
      <w:pPr>
        <w:pStyle w:val="Heading2"/>
        <w:spacing w:before="320" w:after="140"/>
      </w:pPr>
      <w:r>
        <w:t>Artículo X · De la Libertad</w:t>
      </w:r>
    </w:p>
    <w:p w14:paraId="5772753A" w14:textId="77777777" w:rsidR="009418D5" w:rsidRDefault="00000000">
      <w:pPr>
        <w:spacing w:after="200" w:line="300" w:lineRule="auto"/>
      </w:pPr>
      <w:r>
        <w:t xml:space="preserve">Vrutal entiende que las herramientas existen para liberar tiempo, no para consumirlo. Este principio no promete la eliminación de puestos de trabajo: promete devolver a las personas el tiempo que la inercia organizativa les había robado, para que lo dediquen a decidir y crear.</w:t>
      </w:r>
    </w:p>
    <w:p w14:paraId="5D0815A6" w14:textId="77777777" w:rsidR="009418D5" w:rsidRDefault="00000000">
      <w:pPr>
        <w:spacing w:after="320"/>
      </w:pPr>
      <w:r>
        <w:rPr>
          <w:i/>
          <w:iCs/>
          <w:color w:val="6B6B6B"/>
          <w:sz w:val="18"/>
          <w:szCs w:val="18"/>
        </w:rPr>
        <w:t>Fundamento: LAB 03 · Brand. Véase Artículo I y Artículo II.</w:t>
      </w:r>
    </w:p>
    <w:p w14:paraId="1A336A82" w14:textId="77777777" w:rsidR="009418D5" w:rsidRDefault="00000000">
      <w:pPr>
        <w:pStyle w:val="Heading2"/>
        <w:spacing w:before="320" w:after="140"/>
      </w:pPr>
      <w:r>
        <w:t>Artículo XI · Del Impacto Real</w:t>
      </w:r>
    </w:p>
    <w:p w14:paraId="4189B19A" w14:textId="77777777" w:rsidR="009418D5" w:rsidRDefault="00000000">
      <w:pPr>
        <w:spacing w:after="200" w:line="300" w:lineRule="auto"/>
      </w:pPr>
      <w:r>
        <w:t xml:space="preserve">Vrutal exige que todo trabajo produzca un cambio real y medible. Una solución que no se traduce en un resultado verificable no es, a efectos de este principio, una solución: es una promesa sin consecuencia, exactamente lo que la voz de marca de Vrutal prohíbe.</w:t>
      </w:r>
    </w:p>
    <w:p w14:paraId="5A6F3982" w14:textId="77777777" w:rsidR="009418D5" w:rsidRDefault="00000000">
      <w:pPr>
        <w:spacing w:after="320"/>
      </w:pPr>
      <w:r>
        <w:rPr>
          <w:i/>
          <w:iCs/>
          <w:color w:val="6B6B6B"/>
          <w:sz w:val="18"/>
          <w:szCs w:val="18"/>
        </w:rPr>
        <w:t>Fundamento: LAB 03 · Brand.</w:t>
      </w:r>
    </w:p>
    <w:p w14:paraId="77FE24E3" w14:textId="77777777" w:rsidR="009418D5" w:rsidRDefault="00000000">
      <w:r>
        <w:br w:type="page"/>
      </w:r>
    </w:p>
    <w:p w14:paraId="6BDA118C" w14:textId="77777777" w:rsidR="009418D5" w:rsidRDefault="00000000">
      <w:pPr>
        <w:pStyle w:val="Heading1"/>
        <w:pBdr>
          <w:bottom w:val="single" w:sz="10" w:space="6" w:color="6C4CFF"/>
        </w:pBdr>
        <w:spacing w:before="520"/>
      </w:pPr>
      <w:r>
        <w:lastRenderedPageBreak/>
        <w:t>TÍTULO III — DE LA CULTURA</w:t>
      </w:r>
      <w:r>
        <w:rPr>
          <w:b w:val="0"/>
          <w:bCs w:val="0"/>
          <w:color w:val="6B6B6B"/>
          <w:sz w:val="20"/>
          <w:szCs w:val="20"/>
        </w:rPr>
        <w:t xml:space="preserve">   · pendiente</w:t>
      </w:r>
    </w:p>
    <w:p w14:paraId="27E01615" w14:textId="77777777" w:rsidR="009418D5" w:rsidRDefault="00000000">
      <w:pPr>
        <w:spacing w:after="200" w:line="300" w:lineRule="auto"/>
      </w:pPr>
      <w:r>
        <w:t>Título reservado a cómo se vive, en el día a día, la filosofía ya ratificada en el Título I: cómo se trabaja, cómo se celebra el acierto, cómo se trata el error.</w:t>
      </w:r>
    </w:p>
    <w:p w14:paraId="5ABBDE99" w14:textId="77777777" w:rsidR="009418D5" w:rsidRDefault="00000000">
      <w:pPr>
        <w:spacing w:after="200" w:line="300" w:lineRule="auto"/>
      </w:pPr>
      <w:r>
        <w:rPr>
          <w:b/>
          <w:bCs/>
          <w:color w:val="6B6B6B"/>
        </w:rPr>
        <w:t xml:space="preserve">Depende de: </w:t>
      </w:r>
      <w:r>
        <w:rPr>
          <w:color w:val="6B6B6B"/>
        </w:rPr>
        <w:t xml:space="preserve">Más casos operativos de Vrutal-lab en producción, de los que extraer patrones estables.</w:t>
      </w:r>
    </w:p>
    <w:p w14:paraId="74576B8C" w14:textId="77777777" w:rsidR="009418D5" w:rsidRDefault="00000000">
      <w:pPr>
        <w:pStyle w:val="Heading1"/>
        <w:pBdr>
          <w:bottom w:val="single" w:sz="10" w:space="6" w:color="6C4CFF"/>
        </w:pBdr>
        <w:spacing w:before="520"/>
      </w:pPr>
      <w:r>
        <w:t>TÍTULO IV — DE LAS LEYES INTERNAS</w:t>
      </w:r>
      <w:r>
        <w:rPr>
          <w:b w:val="0"/>
          <w:bCs w:val="0"/>
          <w:color w:val="6C4CFF"/>
          <w:sz w:val="20"/>
          <w:szCs w:val="20"/>
        </w:rPr>
        <w:t xml:space="preserve">   · ratificado</w:t>
      </w:r>
    </w:p>
    <w:p>
      <w:pPr>
        <w:spacing w:after="200" w:line="300" w:lineRule="auto"/>
      </w:pPr>
      <w:r>
        <w:t xml:space="preserve">El presente título recoge, como ley interna de Vrutal, las reglas de proceso que LAB 12 · Operations declara estables tras su primera redacción completa. No incorpora la totalidad de LAB 12 — que sigue siendo la fuente operativa de detalle —, sino los dos principios que ese laboratorio presenta sin reserva, dejando fuera lo que él mismo marca como hipótesis aún no probada contra un caso real.</w:t>
      </w:r>
    </w:p>
    <w:p>
      <w:pPr>
        <w:pStyle w:val="Heading2"/>
        <w:spacing w:before="320" w:after="140"/>
      </w:pPr>
      <w:r>
        <w:t>Artículo XII · Del Proceso sobre la Persona</w:t>
      </w:r>
    </w:p>
    <w:p>
      <w:pPr>
        <w:spacing w:after="200" w:line="300" w:lineRule="auto"/>
      </w:pPr>
      <w:r>
        <w:t xml:space="preserve">Vrutal diseña todo proceso bajo una prueba única: que sobreviva a que la persona que lo ejecuta hoy deje de ejecutarlo mañana. Un proceso que solo funciona en manos de quien lo conoce no es un proceso: es una dependencia disfrazada de método. De esta prueba se siguen tres consecuencias que rigen sin excepción. Todo proceso tiene un propietario documentado, responsable de que siga siendo cierto, no de ejecutarlo personalmente cada vez. Todo proceso admite ejecución por un especialista de inteligencia artificial allí donde su alcance de decisión lo permita, y uno que solo pueda explicarse a una persona, y no a un agente, no está terminado. Y todo proceso se audita contra un checklist explícito, nunca contra la satisfacción de quien lo revisa.</w:t>
      </w:r>
    </w:p>
    <w:p>
      <w:pPr>
        <w:spacing w:after="320"/>
      </w:pPr>
      <w:r>
        <w:rPr>
          <w:i/>
          <w:iCs/>
          <w:color w:val="6B6B6B"/>
          <w:sz w:val="18"/>
          <w:szCs w:val="18"/>
        </w:rPr>
        <w:t>Fundamento: LAB 12, Capítulo 2.</w:t>
      </w:r>
    </w:p>
    <w:p>
      <w:pPr>
        <w:pStyle w:val="Heading2"/>
        <w:spacing w:before="320" w:after="140"/>
      </w:pPr>
      <w:r>
        <w:t>Artículo XIII · De la Documentación Viva</w:t>
      </w:r>
    </w:p>
    <w:p>
      <w:pPr>
        <w:spacing w:after="200" w:line="300" w:lineRule="auto"/>
      </w:pPr>
      <w:r>
        <w:t xml:space="preserve">Vrutal no revisa su documentación por calendario: la actualiza cuando el proceso que describe cambia en la realidad, nunca cuando toca revisarla. Todo documento, y todo proceso fijado dentro de él, tiene un propietario identificado, responsable de su vigencia, no necesariamente de su ejecución. La pregunta que gobierna esta obligación es siempre la misma: si alguien sigue este documento hoy, ¿describe cómo trabaja Vrutal ahora, o cómo trabajaba la semana pasada?</w:t>
      </w:r>
    </w:p>
    <w:p>
      <w:pPr>
        <w:spacing w:after="320"/>
      </w:pPr>
      <w:r>
        <w:rPr>
          <w:i/>
          <w:iCs/>
          <w:color w:val="6B6B6B"/>
          <w:sz w:val="18"/>
          <w:szCs w:val="18"/>
        </w:rPr>
        <w:t>Fundamento: LAB 12, Capítulo 12. Véase Artículo III.</w:t>
      </w:r>
    </w:p>
    <w:p w14:paraId="56F1C983" w14:textId="77777777" w:rsidR="009418D5" w:rsidRDefault="00000000">
      <w:pPr>
        <w:pStyle w:val="Heading1"/>
        <w:pBdr>
          <w:bottom w:val="single" w:sz="10" w:space="6" w:color="6C4CFF"/>
        </w:pBdr>
        <w:spacing w:before="520"/>
      </w:pPr>
      <w:r>
        <w:t>TÍTULO V — DEL SISTEMA DE DECISIÓN</w:t>
      </w:r>
      <w:r>
        <w:rPr>
          <w:b w:val="0"/>
          <w:bCs w:val="0"/>
          <w:color w:val="6C4CFF"/>
          <w:sz w:val="20"/>
          <w:szCs w:val="20"/>
        </w:rPr>
        <w:t xml:space="preserve">   · ratificado</w:t>
      </w:r>
    </w:p>
    <w:p>
      <w:pPr>
        <w:spacing w:after="200" w:line="300" w:lineRule="auto"/>
      </w:pPr>
      <w:r>
        <w:t xml:space="preserve">El presente título extiende a toda la organización el protocolo de decisión que LAB 07, Capítulo 1, ya fija para la capa agéntica. No define un régimen distinto para personas y para especialistas de inteligencia artificial: fija uno solo, común a ambos.</w:t>
      </w:r>
    </w:p>
    <w:p>
      <w:pPr>
        <w:pStyle w:val="Heading2"/>
        <w:spacing w:before="320" w:after="140"/>
      </w:pPr>
      <w:r>
        <w:t>Artículo XIV · Del Alcance de Decisión</w:t>
      </w:r>
    </w:p>
    <w:p>
      <w:pPr>
        <w:spacing w:after="200" w:line="300" w:lineRule="auto"/>
      </w:pPr>
      <w:r>
        <w:t xml:space="preserve">Vrutal establece un protocolo único de decisión, aplicable por igual a cualquier persona o especialista de inteligencia artificial que actúe en su nombre. Dentro del alcance de decisión que le ha sido asignado, decide y ejecuta. En el límite de ese alcance, propone y espera confirmación, sin ejecutar primero para explicar después. Fuera de su alcance, escala, sin improvisar con más confianza de la que su posición le permite. El alcance de decisión no distingue entre quien lo ejerce: distingue entre lo que ha sido delegado y lo que no.</w:t>
      </w:r>
    </w:p>
    <w:p>
      <w:pPr>
        <w:spacing w:after="320"/>
      </w:pPr>
      <w:r>
        <w:rPr>
          <w:i/>
          <w:iCs/>
          <w:color w:val="6B6B6B"/>
          <w:sz w:val="18"/>
          <w:szCs w:val="18"/>
        </w:rPr>
        <w:t>Fundamento: LAB 07, Capítulo 1.</w:t>
      </w:r>
    </w:p>
    <w:p w14:paraId="7BFA8B4C" w14:textId="77777777" w:rsidR="009418D5" w:rsidRDefault="00000000">
      <w:pPr>
        <w:pStyle w:val="Heading1"/>
        <w:pBdr>
          <w:bottom w:val="single" w:sz="10" w:space="6" w:color="6C4CFF"/>
        </w:pBdr>
        <w:spacing w:before="520"/>
      </w:pPr>
      <w:r>
        <w:t>TÍTULO VI — DE LOS DERECHOS Y LAS RESPONSABILIDADES</w:t>
      </w:r>
      <w:r>
        <w:rPr>
          <w:b w:val="0"/>
          <w:bCs w:val="0"/>
          <w:color w:val="6B6B6B"/>
          <w:sz w:val="20"/>
          <w:szCs w:val="20"/>
        </w:rPr>
        <w:t xml:space="preserve">   · pendiente</w:t>
      </w:r>
    </w:p>
    <w:p w14:paraId="55BEDB18" w14:textId="77777777" w:rsidR="009418D5" w:rsidRDefault="00000000">
      <w:pPr>
        <w:spacing w:after="200" w:line="300" w:lineRule="auto"/>
      </w:pPr>
      <w:r>
        <w:t xml:space="preserve">Título reservado a los derechos y deberes de las personas que trabajan en Vrutal y de los especialistas de IA que operan junto a ellas.</w:t>
      </w:r>
    </w:p>
    <w:p w14:paraId="15E8048F" w14:textId="77777777" w:rsidR="009418D5" w:rsidRDefault="00000000">
      <w:pPr>
        <w:spacing w:after="200" w:line="300" w:lineRule="auto"/>
      </w:pPr>
      <w:r>
        <w:rPr>
          <w:b/>
          <w:bCs/>
          <w:color w:val="6B6B6B"/>
        </w:rPr>
        <w:t xml:space="preserve">Depende de: </w:t>
      </w:r>
      <w:r>
        <w:rPr>
          <w:color w:val="6B6B6B"/>
        </w:rPr>
        <w:t xml:space="preserve">LAB 10 · Sales y LAB 12 · Operations.</w:t>
      </w:r>
    </w:p>
    <w:p w14:paraId="01039774" w14:textId="77777777" w:rsidR="009418D5" w:rsidRDefault="00000000">
      <w:pPr>
        <w:pStyle w:val="Heading1"/>
        <w:pBdr>
          <w:bottom w:val="single" w:sz="10" w:space="6" w:color="6C4CFF"/>
        </w:pBdr>
        <w:spacing w:before="520"/>
      </w:pPr>
      <w:r>
        <w:t>TÍTULO VII — DE LAS DEFINICIONES</w:t>
      </w:r>
      <w:r>
        <w:rPr>
          <w:b w:val="0"/>
          <w:bCs w:val="0"/>
          <w:color w:val="6B6B6B"/>
          <w:sz w:val="20"/>
          <w:szCs w:val="20"/>
        </w:rPr>
        <w:t xml:space="preserve">   · pendiente</w:t>
      </w:r>
    </w:p>
    <w:p w14:paraId="01D5E4C8" w14:textId="77777777" w:rsidR="009418D5" w:rsidRDefault="00000000">
      <w:pPr>
        <w:spacing w:after="200" w:line="300" w:lineRule="auto"/>
      </w:pPr>
      <w:r>
        <w:t xml:space="preserve">Glosario oficial de Vrutal. Se construye de forma acumulativa: cada término se fija aquí en el momento en que el título que lo origina queda ratificado, nunca antes.</w:t>
      </w:r>
    </w:p>
    <w:p w14:paraId="05B68382" w14:textId="77777777" w:rsidR="009418D5" w:rsidRDefault="00000000">
      <w:pPr>
        <w:spacing w:after="200" w:line="300" w:lineRule="auto"/>
      </w:pPr>
      <w:r>
        <w:rPr>
          <w:b/>
          <w:bCs/>
          <w:color w:val="6B6B6B"/>
        </w:rPr>
        <w:t xml:space="preserve">Depende de: </w:t>
      </w:r>
      <w:r>
        <w:rPr>
          <w:color w:val="6B6B6B"/>
        </w:rPr>
        <w:t>Acumulativo — se cierra en último lugar, cuando el resto de títulos esté ratificado.</w:t>
      </w:r>
    </w:p>
    <w:p w14:paraId="45DFCFB4" w14:textId="77777777" w:rsidR="009418D5" w:rsidRDefault="00000000">
      <w:r>
        <w:br w:type="page"/>
      </w:r>
    </w:p>
    <w:p w14:paraId="363003CE" w14:textId="77777777" w:rsidR="009418D5" w:rsidRDefault="00000000">
      <w:pPr>
        <w:pStyle w:val="Heading1"/>
        <w:pBdr>
          <w:bottom w:val="single" w:sz="10" w:space="6" w:color="6C4CFF"/>
        </w:pBdr>
        <w:spacing w:after="200"/>
      </w:pPr>
      <w:r>
        <w:lastRenderedPageBreak/>
        <w:t>DISPOSICIÓN FINAL — ESTADO DE LA CONSTITUCIÓN</w:t>
      </w:r>
    </w:p>
    <w:p w14:paraId="6B0EC748" w14:textId="77777777" w:rsidR="009418D5" w:rsidRDefault="00000000">
      <w:pPr>
        <w:spacing w:after="200" w:line="300" w:lineRule="auto"/>
      </w:pPr>
      <w:r>
        <w:t>El siguiente cuadro fija, sin ambigüedad, qué parte de esta Constitución rige hoy y qué parte permanece en construcción.</w:t>
      </w:r>
    </w:p>
    <w:p w14:paraId="31000001" w14:textId="77777777" w:rsidR="009418D5" w:rsidRDefault="009418D5">
      <w:pPr>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600"/>
      </w:tblGrid>
      <w:tr w:rsidR="009418D5" w14:paraId="49069F0C" w14:textId="77777777">
        <w:tblPrEx>
          <w:tblCellMar>
            <w:top w:w="0" w:type="dxa"/>
            <w:bottom w:w="0" w:type="dxa"/>
          </w:tblCellMar>
        </w:tblPrEx>
        <w:trPr>
          <w:tblHeader/>
        </w:trPr>
        <w:tc>
          <w:tcPr>
            <w:tcW w:w="0" w:type="dxa"/>
            <w:shd w:val="clear" w:color="auto" w:fill="F7F7F5"/>
            <w:tcMar>
              <w:top w:w="100" w:type="dxa"/>
              <w:left w:w="120" w:type="dxa"/>
              <w:bottom w:w="100" w:type="dxa"/>
              <w:right w:w="120" w:type="dxa"/>
            </w:tcMar>
            <w:vAlign w:val="center"/>
          </w:tcPr>
          <w:p w14:paraId="680D0119" w14:textId="77777777" w:rsidR="009418D5" w:rsidRDefault="00000000">
            <w:r>
              <w:rPr>
                <w:b/>
                <w:bCs/>
                <w:sz w:val="20"/>
                <w:szCs w:val="20"/>
              </w:rPr>
              <w:t>Título</w:t>
            </w:r>
          </w:p>
        </w:tc>
        <w:tc>
          <w:tcPr>
            <w:tcW w:w="0" w:type="dxa"/>
            <w:shd w:val="clear" w:color="auto" w:fill="F7F7F5"/>
            <w:tcMar>
              <w:top w:w="100" w:type="dxa"/>
              <w:left w:w="120" w:type="dxa"/>
              <w:bottom w:w="100" w:type="dxa"/>
              <w:right w:w="120" w:type="dxa"/>
            </w:tcMar>
            <w:vAlign w:val="center"/>
          </w:tcPr>
          <w:p w14:paraId="55F01B02" w14:textId="77777777" w:rsidR="009418D5" w:rsidRDefault="00000000">
            <w:r>
              <w:rPr>
                <w:b/>
                <w:bCs/>
                <w:sz w:val="20"/>
                <w:szCs w:val="20"/>
              </w:rPr>
              <w:t>Estado</w:t>
            </w:r>
          </w:p>
        </w:tc>
        <w:tc>
          <w:tcPr>
            <w:tcW w:w="0" w:type="dxa"/>
            <w:shd w:val="clear" w:color="auto" w:fill="F7F7F5"/>
            <w:tcMar>
              <w:top w:w="100" w:type="dxa"/>
              <w:left w:w="120" w:type="dxa"/>
              <w:bottom w:w="100" w:type="dxa"/>
              <w:right w:w="120" w:type="dxa"/>
            </w:tcMar>
            <w:vAlign w:val="center"/>
          </w:tcPr>
          <w:p w14:paraId="77491063" w14:textId="77777777" w:rsidR="009418D5" w:rsidRDefault="00000000">
            <w:r>
              <w:rPr>
                <w:b/>
                <w:bCs/>
                <w:sz w:val="20"/>
                <w:szCs w:val="20"/>
              </w:rPr>
              <w:t>Depende de</w:t>
            </w:r>
          </w:p>
        </w:tc>
      </w:tr>
      <w:tr w:rsidR="009418D5" w14:paraId="58CD58D3"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1E107D95" w14:textId="77777777" w:rsidR="009418D5" w:rsidRDefault="00000000">
            <w:r>
              <w:rPr>
                <w:b/>
                <w:bCs/>
                <w:sz w:val="20"/>
                <w:szCs w:val="20"/>
              </w:rPr>
              <w:t>I. De la Filosofía</w:t>
            </w:r>
          </w:p>
        </w:tc>
        <w:tc>
          <w:tcPr>
            <w:tcW w:w="1800" w:type="dxa"/>
            <w:shd w:val="clear" w:color="auto" w:fill="FFFFFF"/>
            <w:tcMar>
              <w:top w:w="100" w:type="dxa"/>
              <w:left w:w="120" w:type="dxa"/>
              <w:bottom w:w="100" w:type="dxa"/>
              <w:right w:w="120" w:type="dxa"/>
            </w:tcMar>
            <w:vAlign w:val="center"/>
          </w:tcPr>
          <w:p w14:paraId="79AE7805" w14:textId="77777777" w:rsidR="009418D5" w:rsidRDefault="00000000">
            <w:r>
              <w:rPr>
                <w:b/>
                <w:bCs/>
                <w:color w:val="6C4CFF"/>
                <w:sz w:val="20"/>
                <w:szCs w:val="20"/>
              </w:rPr>
              <w:t>Ratificado</w:t>
            </w:r>
          </w:p>
        </w:tc>
        <w:tc>
          <w:tcPr>
            <w:tcW w:w="3600" w:type="dxa"/>
            <w:shd w:val="clear" w:color="auto" w:fill="FFFFFF"/>
            <w:tcMar>
              <w:top w:w="100" w:type="dxa"/>
              <w:left w:w="120" w:type="dxa"/>
              <w:bottom w:w="100" w:type="dxa"/>
              <w:right w:w="120" w:type="dxa"/>
            </w:tcMar>
            <w:vAlign w:val="center"/>
          </w:tcPr>
          <w:p w14:paraId="353F4F2E" w14:textId="77777777" w:rsidR="009418D5" w:rsidRDefault="00000000">
            <w:r>
              <w:rPr>
                <w:sz w:val="20"/>
                <w:szCs w:val="20"/>
              </w:rPr>
              <w:t>LAB 05, Cap. 3, 5, 8 y 9</w:t>
            </w:r>
          </w:p>
        </w:tc>
      </w:tr>
      <w:tr w:rsidR="009418D5" w14:paraId="6D881E0A"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58D56A92" w14:textId="77777777" w:rsidR="009418D5" w:rsidRDefault="00000000">
            <w:r>
              <w:rPr>
                <w:b/>
                <w:bCs/>
                <w:sz w:val="20"/>
                <w:szCs w:val="20"/>
              </w:rPr>
              <w:t>II. De los Principios</w:t>
            </w:r>
          </w:p>
        </w:tc>
        <w:tc>
          <w:tcPr>
            <w:tcW w:w="1800" w:type="dxa"/>
            <w:shd w:val="clear" w:color="auto" w:fill="FFFFFF"/>
            <w:tcMar>
              <w:top w:w="100" w:type="dxa"/>
              <w:left w:w="120" w:type="dxa"/>
              <w:bottom w:w="100" w:type="dxa"/>
              <w:right w:w="120" w:type="dxa"/>
            </w:tcMar>
            <w:vAlign w:val="center"/>
          </w:tcPr>
          <w:p w14:paraId="0E664DAA" w14:textId="77777777" w:rsidR="009418D5" w:rsidRDefault="00000000">
            <w:r>
              <w:rPr>
                <w:b/>
                <w:bCs/>
                <w:color w:val="6C4CFF"/>
                <w:sz w:val="20"/>
                <w:szCs w:val="20"/>
              </w:rPr>
              <w:t>Ratificado</w:t>
            </w:r>
          </w:p>
        </w:tc>
        <w:tc>
          <w:tcPr>
            <w:tcW w:w="3600" w:type="dxa"/>
            <w:shd w:val="clear" w:color="auto" w:fill="FFFFFF"/>
            <w:tcMar>
              <w:top w:w="100" w:type="dxa"/>
              <w:left w:w="120" w:type="dxa"/>
              <w:bottom w:w="100" w:type="dxa"/>
              <w:right w:w="120" w:type="dxa"/>
            </w:tcMar>
            <w:vAlign w:val="center"/>
          </w:tcPr>
          <w:p w14:paraId="05BE3872" w14:textId="77777777" w:rsidR="009418D5" w:rsidRDefault="00000000">
            <w:r>
              <w:rPr>
                <w:sz w:val="20"/>
                <w:szCs w:val="20"/>
              </w:rPr>
              <w:t>LAB 03 · Brand Book v1.0</w:t>
            </w:r>
          </w:p>
        </w:tc>
      </w:tr>
      <w:tr w:rsidR="009418D5" w14:paraId="4452ECF7"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19F5616B" w14:textId="77777777" w:rsidR="009418D5" w:rsidRDefault="00000000">
            <w:r>
              <w:rPr>
                <w:b/>
                <w:bCs/>
                <w:sz w:val="20"/>
                <w:szCs w:val="20"/>
              </w:rPr>
              <w:t>III. De la Cultura</w:t>
            </w:r>
          </w:p>
        </w:tc>
        <w:tc>
          <w:tcPr>
            <w:tcW w:w="1800" w:type="dxa"/>
            <w:shd w:val="clear" w:color="auto" w:fill="FFFFFF"/>
            <w:tcMar>
              <w:top w:w="100" w:type="dxa"/>
              <w:left w:w="120" w:type="dxa"/>
              <w:bottom w:w="100" w:type="dxa"/>
              <w:right w:w="120" w:type="dxa"/>
            </w:tcMar>
            <w:vAlign w:val="center"/>
          </w:tcPr>
          <w:p w14:paraId="75A6FC0B" w14:textId="77777777" w:rsidR="009418D5" w:rsidRDefault="00000000">
            <w:r>
              <w:rPr>
                <w:color w:val="6B6B6B"/>
                <w:sz w:val="20"/>
                <w:szCs w:val="20"/>
              </w:rPr>
              <w:t>Pendiente</w:t>
            </w:r>
          </w:p>
        </w:tc>
        <w:tc>
          <w:tcPr>
            <w:tcW w:w="3600" w:type="dxa"/>
            <w:shd w:val="clear" w:color="auto" w:fill="FFFFFF"/>
            <w:tcMar>
              <w:top w:w="100" w:type="dxa"/>
              <w:left w:w="120" w:type="dxa"/>
              <w:bottom w:w="100" w:type="dxa"/>
              <w:right w:w="120" w:type="dxa"/>
            </w:tcMar>
            <w:vAlign w:val="center"/>
          </w:tcPr>
          <w:p w14:paraId="2220185A" w14:textId="77777777" w:rsidR="009418D5" w:rsidRDefault="00000000">
            <w:r>
              <w:rPr>
                <w:sz w:val="20"/>
                <w:szCs w:val="20"/>
              </w:rPr>
              <w:t xml:space="preserve">Más casos operativos de Vrutal-lab</w:t>
            </w:r>
          </w:p>
        </w:tc>
      </w:tr>
      <w:tr w:rsidR="009418D5" w14:paraId="2723663D"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C59A961" w14:textId="77777777" w:rsidR="009418D5" w:rsidRDefault="00000000">
            <w:r>
              <w:rPr>
                <w:b/>
                <w:bCs/>
                <w:sz w:val="20"/>
                <w:szCs w:val="20"/>
              </w:rPr>
              <w:t>IV. De las Leyes Internas</w:t>
            </w:r>
          </w:p>
        </w:tc>
        <w:tc>
          <w:tcPr>
            <w:tcW w:w="1800" w:type="dxa"/>
            <w:shd w:val="clear" w:color="auto" w:fill="FFFFFF"/>
            <w:tcMar>
              <w:top w:w="100" w:type="dxa"/>
              <w:left w:w="120" w:type="dxa"/>
              <w:bottom w:w="100" w:type="dxa"/>
              <w:right w:w="120" w:type="dxa"/>
            </w:tcMar>
            <w:vAlign w:val="center"/>
          </w:tcPr>
          <w:p w14:paraId="56C3CC6C" w14:textId="77777777" w:rsidR="009418D5" w:rsidRDefault="00000000">
            <w:r>
              <w:rPr>
                <w:b/>
                <w:bCs/>
                <w:color w:val="6C4CFF"/>
                <w:sz w:val="20"/>
                <w:szCs w:val="20"/>
              </w:rPr>
              <w:t>Ratificado</w:t>
            </w:r>
          </w:p>
        </w:tc>
        <w:tc>
          <w:tcPr>
            <w:tcW w:w="3600" w:type="dxa"/>
            <w:shd w:val="clear" w:color="auto" w:fill="FFFFFF"/>
            <w:tcMar>
              <w:top w:w="100" w:type="dxa"/>
              <w:left w:w="120" w:type="dxa"/>
              <w:bottom w:w="100" w:type="dxa"/>
              <w:right w:w="120" w:type="dxa"/>
            </w:tcMar>
            <w:vAlign w:val="center"/>
          </w:tcPr>
          <w:p w14:paraId="30863170" w14:textId="77777777" w:rsidR="009418D5" w:rsidRDefault="00000000">
            <w:r>
              <w:rPr>
                <w:sz w:val="20"/>
                <w:szCs w:val="20"/>
              </w:rPr>
              <w:t xml:space="preserve">LAB 12, Cap. 2 y 12</w:t>
            </w:r>
          </w:p>
        </w:tc>
      </w:tr>
      <w:tr w:rsidR="009418D5" w14:paraId="7C995B27"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1415EFC1" w14:textId="77777777" w:rsidR="009418D5" w:rsidRDefault="00000000">
            <w:r>
              <w:rPr>
                <w:b/>
                <w:bCs/>
                <w:sz w:val="20"/>
                <w:szCs w:val="20"/>
              </w:rPr>
              <w:t>V. Del Sistema de Decisión</w:t>
            </w:r>
          </w:p>
        </w:tc>
        <w:tc>
          <w:tcPr>
            <w:tcW w:w="1800" w:type="dxa"/>
            <w:shd w:val="clear" w:color="auto" w:fill="FFFFFF"/>
            <w:tcMar>
              <w:top w:w="100" w:type="dxa"/>
              <w:left w:w="120" w:type="dxa"/>
              <w:bottom w:w="100" w:type="dxa"/>
              <w:right w:w="120" w:type="dxa"/>
            </w:tcMar>
            <w:vAlign w:val="center"/>
          </w:tcPr>
          <w:p w14:paraId="289B7E6E" w14:textId="77777777" w:rsidR="009418D5" w:rsidRDefault="00000000">
            <w:r>
              <w:rPr>
                <w:b/>
                <w:bCs/>
                <w:color w:val="6C4CFF"/>
                <w:sz w:val="20"/>
                <w:szCs w:val="20"/>
              </w:rPr>
              <w:t>Ratificado</w:t>
            </w:r>
          </w:p>
        </w:tc>
        <w:tc>
          <w:tcPr>
            <w:tcW w:w="3600" w:type="dxa"/>
            <w:shd w:val="clear" w:color="auto" w:fill="FFFFFF"/>
            <w:tcMar>
              <w:top w:w="100" w:type="dxa"/>
              <w:left w:w="120" w:type="dxa"/>
              <w:bottom w:w="100" w:type="dxa"/>
              <w:right w:w="120" w:type="dxa"/>
            </w:tcMar>
            <w:vAlign w:val="center"/>
          </w:tcPr>
          <w:p w14:paraId="704E0817" w14:textId="77777777" w:rsidR="009418D5" w:rsidRDefault="00000000">
            <w:r>
              <w:rPr>
                <w:sz w:val="20"/>
                <w:szCs w:val="20"/>
              </w:rPr>
              <w:t>LAB 07, Cap. 1</w:t>
            </w:r>
          </w:p>
        </w:tc>
      </w:tr>
      <w:tr w:rsidR="009418D5" w14:paraId="34F03B7E"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24AF0AA" w14:textId="77777777" w:rsidR="009418D5" w:rsidRDefault="00000000">
            <w:r>
              <w:rPr>
                <w:b/>
                <w:bCs/>
                <w:sz w:val="20"/>
                <w:szCs w:val="20"/>
              </w:rPr>
              <w:t>VI. Derechos y Responsabilidades</w:t>
            </w:r>
          </w:p>
        </w:tc>
        <w:tc>
          <w:tcPr>
            <w:tcW w:w="1800" w:type="dxa"/>
            <w:shd w:val="clear" w:color="auto" w:fill="FFFFFF"/>
            <w:tcMar>
              <w:top w:w="100" w:type="dxa"/>
              <w:left w:w="120" w:type="dxa"/>
              <w:bottom w:w="100" w:type="dxa"/>
              <w:right w:w="120" w:type="dxa"/>
            </w:tcMar>
            <w:vAlign w:val="center"/>
          </w:tcPr>
          <w:p w14:paraId="2FFF6939" w14:textId="77777777" w:rsidR="009418D5" w:rsidRDefault="00000000">
            <w:r>
              <w:rPr>
                <w:color w:val="6B6B6B"/>
                <w:sz w:val="20"/>
                <w:szCs w:val="20"/>
              </w:rPr>
              <w:t>Pendiente</w:t>
            </w:r>
          </w:p>
        </w:tc>
        <w:tc>
          <w:tcPr>
            <w:tcW w:w="3600" w:type="dxa"/>
            <w:shd w:val="clear" w:color="auto" w:fill="FFFFFF"/>
            <w:tcMar>
              <w:top w:w="100" w:type="dxa"/>
              <w:left w:w="120" w:type="dxa"/>
              <w:bottom w:w="100" w:type="dxa"/>
              <w:right w:w="120" w:type="dxa"/>
            </w:tcMar>
            <w:vAlign w:val="center"/>
          </w:tcPr>
          <w:p w14:paraId="747483C6" w14:textId="77777777" w:rsidR="009418D5" w:rsidRDefault="00000000">
            <w:r>
              <w:rPr>
                <w:sz w:val="20"/>
                <w:szCs w:val="20"/>
              </w:rPr>
              <w:t>LAB 10 y LAB 12</w:t>
            </w:r>
          </w:p>
        </w:tc>
      </w:tr>
      <w:tr w:rsidR="009418D5" w14:paraId="07F44C06"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7F270E49" w14:textId="77777777" w:rsidR="009418D5" w:rsidRDefault="00000000">
            <w:r>
              <w:rPr>
                <w:b/>
                <w:bCs/>
                <w:sz w:val="20"/>
                <w:szCs w:val="20"/>
              </w:rPr>
              <w:t>VII. De las Definiciones</w:t>
            </w:r>
          </w:p>
        </w:tc>
        <w:tc>
          <w:tcPr>
            <w:tcW w:w="1800" w:type="dxa"/>
            <w:shd w:val="clear" w:color="auto" w:fill="FFFFFF"/>
            <w:tcMar>
              <w:top w:w="100" w:type="dxa"/>
              <w:left w:w="120" w:type="dxa"/>
              <w:bottom w:w="100" w:type="dxa"/>
              <w:right w:w="120" w:type="dxa"/>
            </w:tcMar>
            <w:vAlign w:val="center"/>
          </w:tcPr>
          <w:p w14:paraId="185C0B98" w14:textId="77777777" w:rsidR="009418D5" w:rsidRDefault="00000000">
            <w:r>
              <w:rPr>
                <w:color w:val="6B6B6B"/>
                <w:sz w:val="20"/>
                <w:szCs w:val="20"/>
              </w:rPr>
              <w:t>Pendiente</w:t>
            </w:r>
          </w:p>
        </w:tc>
        <w:tc>
          <w:tcPr>
            <w:tcW w:w="3600" w:type="dxa"/>
            <w:shd w:val="clear" w:color="auto" w:fill="FFFFFF"/>
            <w:tcMar>
              <w:top w:w="100" w:type="dxa"/>
              <w:left w:w="120" w:type="dxa"/>
              <w:bottom w:w="100" w:type="dxa"/>
              <w:right w:w="120" w:type="dxa"/>
            </w:tcMar>
            <w:vAlign w:val="center"/>
          </w:tcPr>
          <w:p w14:paraId="1E35907A" w14:textId="77777777" w:rsidR="009418D5" w:rsidRDefault="00000000">
            <w:r>
              <w:rPr>
                <w:sz w:val="20"/>
                <w:szCs w:val="20"/>
              </w:rPr>
              <w:t>Acumulativo — se cierra al final</w:t>
            </w:r>
          </w:p>
        </w:tc>
      </w:tr>
    </w:tbl>
    <w:p w14:paraId="42154265" w14:textId="77777777" w:rsidR="009418D5" w:rsidRDefault="009418D5">
      <w:pPr>
        <w:spacing w:before="320" w:after="200"/>
      </w:pPr>
    </w:p>
    <w:p w14:paraId="44A0E9B8" w14:textId="77777777" w:rsidR="009418D5" w:rsidRDefault="00000000">
      <w:pPr>
        <w:spacing w:after="200" w:line="300" w:lineRule="auto"/>
      </w:pPr>
      <w:r>
        <w:t xml:space="preserve">Fin de los artículos ratificados en la Versión 0.3 de LAB 02 · CONSTITUTION. Catorce artículos rigen desde hoy como ley interna de Vrutal, repartidos en los Títulos I, II, IV y V. El Título III avanzará en cuanto se acumulen más casos operativos de Vrutal-lab en producción de los que extraer patrones estables; el Título VI, en cuanto cierren LAB 10 y LAB 12; el Título VII se cierra el último, de forma acumulativa. El resto de títulos seguirá el mismo orden, según cada concepto que lo origina complete su propio recorrido.</w:t>
      </w:r>
    </w:p>
    <w:sectPr w:rsidR="009418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34584"/>
    <w:multiLevelType w:val="hybridMultilevel"/>
    <w:tmpl w:val="42CCDA30"/>
    <w:lvl w:ilvl="0" w:tplc="E8B28142">
      <w:start w:val="1"/>
      <w:numFmt w:val="bullet"/>
      <w:lvlText w:val="●"/>
      <w:lvlJc w:val="left"/>
      <w:pPr>
        <w:ind w:left="720" w:hanging="360"/>
      </w:pPr>
    </w:lvl>
    <w:lvl w:ilvl="1" w:tplc="612AF68C">
      <w:start w:val="1"/>
      <w:numFmt w:val="bullet"/>
      <w:lvlText w:val="○"/>
      <w:lvlJc w:val="left"/>
      <w:pPr>
        <w:ind w:left="1440" w:hanging="360"/>
      </w:pPr>
    </w:lvl>
    <w:lvl w:ilvl="2" w:tplc="068460FE">
      <w:start w:val="1"/>
      <w:numFmt w:val="bullet"/>
      <w:lvlText w:val="■"/>
      <w:lvlJc w:val="left"/>
      <w:pPr>
        <w:ind w:left="2160" w:hanging="360"/>
      </w:pPr>
    </w:lvl>
    <w:lvl w:ilvl="3" w:tplc="6122C0E6">
      <w:start w:val="1"/>
      <w:numFmt w:val="bullet"/>
      <w:lvlText w:val="●"/>
      <w:lvlJc w:val="left"/>
      <w:pPr>
        <w:ind w:left="2880" w:hanging="360"/>
      </w:pPr>
    </w:lvl>
    <w:lvl w:ilvl="4" w:tplc="ED5A31EC">
      <w:start w:val="1"/>
      <w:numFmt w:val="bullet"/>
      <w:lvlText w:val="○"/>
      <w:lvlJc w:val="left"/>
      <w:pPr>
        <w:ind w:left="3600" w:hanging="360"/>
      </w:pPr>
    </w:lvl>
    <w:lvl w:ilvl="5" w:tplc="BABEA15E">
      <w:start w:val="1"/>
      <w:numFmt w:val="bullet"/>
      <w:lvlText w:val="■"/>
      <w:lvlJc w:val="left"/>
      <w:pPr>
        <w:ind w:left="4320" w:hanging="360"/>
      </w:pPr>
    </w:lvl>
    <w:lvl w:ilvl="6" w:tplc="FE769E62">
      <w:start w:val="1"/>
      <w:numFmt w:val="bullet"/>
      <w:lvlText w:val="●"/>
      <w:lvlJc w:val="left"/>
      <w:pPr>
        <w:ind w:left="5040" w:hanging="360"/>
      </w:pPr>
    </w:lvl>
    <w:lvl w:ilvl="7" w:tplc="995E368C">
      <w:start w:val="1"/>
      <w:numFmt w:val="bullet"/>
      <w:lvlText w:val="●"/>
      <w:lvlJc w:val="left"/>
      <w:pPr>
        <w:ind w:left="5760" w:hanging="360"/>
      </w:pPr>
    </w:lvl>
    <w:lvl w:ilvl="8" w:tplc="21669FF0">
      <w:start w:val="1"/>
      <w:numFmt w:val="bullet"/>
      <w:lvlText w:val="●"/>
      <w:lvlJc w:val="left"/>
      <w:pPr>
        <w:ind w:left="6480" w:hanging="360"/>
      </w:pPr>
    </w:lvl>
  </w:abstractNum>
  <w:num w:numId="1" w16cid:durableId="281964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8D5"/>
    <w:rsid w:val="0038509E"/>
    <w:rsid w:val="009418D5"/>
    <w:rsid w:val="00C00A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B9BC"/>
  <w15:docId w15:val="{D899CC24-3BA6-4DD2-A98B-1E318802A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111111"/>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6"/>
      <w:szCs w:val="26"/>
    </w:rPr>
  </w:style>
  <w:style w:type="paragraph" w:styleId="Heading2">
    <w:name w:val="heading 2"/>
    <w:uiPriority w:val="9"/>
    <w:unhideWhenUsed/>
    <w:qFormat/>
    <w:pPr>
      <w:spacing w:before="260" w:after="12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1809</Words>
  <Characters>9950</Characters>
  <Application>Microsoft Office Word</Application>
  <DocSecurity>0</DocSecurity>
  <Lines>82</Lines>
  <Paragraphs>23</Paragraphs>
  <ScaleCrop>false</ScaleCrop>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Gonzalo Conde</cp:lastModifiedBy>
  <cp:revision>2</cp:revision>
  <dcterms:created xsi:type="dcterms:W3CDTF">2026-08-11T19:12:00Z</dcterms:created>
  <dcterms:modified xsi:type="dcterms:W3CDTF">2026-08-11T19:12:00Z</dcterms:modified>
</cp:coreProperties>
</file>