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0C0F" w:color="auto" w:val="clear"/>
            <w:tcMar>
              <w:top w:type="dxa" w:w="720"/>
              <w:left w:type="dxa" w:w="560"/>
              <w:bottom w:type="dxa" w:w="720"/>
              <w:right w:type="dxa" w:w="560"/>
            </w:tcMar>
          </w:tcPr>
          <w:p>
            <w:pPr>
              <w:spacing w:after="260"/>
            </w:pPr>
            <w:r>
              <w:rPr>
                <w:rFonts w:ascii="Consolas" w:cs="Consolas" w:eastAsia="Consolas" w:hAnsi="Consolas"/>
                <w:b/>
                <w:bCs/>
                <w:color w:val="FFFFFF"/>
                <w:spacing w:val="20"/>
                <w:sz w:val="20"/>
                <w:szCs w:val="20"/>
              </w:rPr>
              <w:t xml:space="preserve">◇ VRUTAL</w:t>
            </w:r>
          </w:p>
          <w:p>
            <w:pPr>
              <w:spacing w:after="60"/>
            </w:pPr>
            <w:r>
              <w:rPr>
                <w:rFonts w:ascii="Consolas" w:cs="Consolas" w:eastAsia="Consolas" w:hAnsi="Consolas"/>
                <w:b/>
                <w:bCs/>
                <w:color w:val="6B6B6B"/>
                <w:spacing w:val="20"/>
                <w:sz w:val="18"/>
                <w:szCs w:val="18"/>
              </w:rPr>
              <w:t xml:space="preserve">VRUTAL LABS</w:t>
            </w:r>
          </w:p>
          <w:p>
            <w:pPr>
              <w:spacing w:after="40"/>
            </w:pPr>
            <w:r>
              <w:rPr>
                <w:rFonts w:ascii="Inter" w:cs="Inter" w:eastAsia="Inter" w:hAnsi="Inter"/>
                <w:b/>
                <w:bCs/>
                <w:color w:val="FFFFFF"/>
                <w:sz w:val="40"/>
                <w:szCs w:val="40"/>
              </w:rPr>
              <w:t xml:space="preserve">LAB 03 · BRAND — LAB 04 · DESIGN SYSTEM</w:t>
            </w:r>
          </w:p>
          <w:p>
            <w:pPr>
              <w:spacing w:after="280"/>
            </w:pPr>
            <w:r>
              <w:rPr>
                <w:rFonts w:ascii="Inter" w:cs="Inter" w:eastAsia="Inter" w:hAnsi="Inter"/>
                <w:b/>
                <w:bCs/>
                <w:color w:val="FFFFFF"/>
                <w:sz w:val="40"/>
                <w:szCs w:val="40"/>
              </w:rPr>
              <w:t xml:space="preserve">Brand Book</w:t>
            </w:r>
          </w:p>
          <w:p>
            <w:pPr>
              <w:pBdr>
                <w:bottom w:val="single" w:color="6C4CFF" w:sz="18" w:space="10"/>
              </w:pBdr>
              <w:spacing w:after="200"/>
            </w:pPr>
            <w:r>
              <w:rPr>
                <w:sz w:val="2"/>
                <w:szCs w:val="2"/>
              </w:rPr>
              <w:t xml:space="preserve"/>
            </w:r>
          </w:p>
          <w:p>
            <w:pPr>
              <w:spacing w:after="40"/>
            </w:pPr>
            <w:r>
              <w:rPr>
                <w:rFonts w:ascii="Inter" w:cs="Inter" w:eastAsia="Inter" w:hAnsi="Inter"/>
                <w:i/>
                <w:iCs/>
                <w:color w:val="FFFFFF"/>
                <w:sz w:val="24"/>
                <w:szCs w:val="24"/>
              </w:rPr>
              <w:t xml:space="preserve">La complejidad es un fallo de diseño.</w:t>
            </w:r>
          </w:p>
        </w:tc>
      </w:tr>
    </w:tbl>
    <w:p>
      <w:pPr>
        <w:spacing w:after="360"/>
      </w:pPr>
    </w:p>
    <w:p>
      <w:pPr>
        <w:spacing w:after="30"/>
        <w:jc w:val="left"/>
      </w:pPr>
      <w:r>
        <w:rPr>
          <w:rFonts w:ascii="Consolas" w:cs="Consolas" w:eastAsia="Consolas" w:hAnsi="Consolas"/>
          <w:b/>
          <w:bCs/>
          <w:color w:val="0B0C0F"/>
          <w:sz w:val="20"/>
          <w:szCs w:val="20"/>
        </w:rPr>
        <w:t xml:space="preserve">VERSIÓN 0.9</w:t>
      </w:r>
    </w:p>
    <w:p>
      <w:pPr>
        <w:spacing w:after="30"/>
      </w:pPr>
      <w:r>
        <w:rPr>
          <w:rFonts w:ascii="Inter" w:cs="Inter" w:eastAsia="Inter" w:hAnsi="Inter"/>
          <w:color w:val="6B6B6B"/>
          <w:sz w:val="18"/>
          <w:szCs w:val="18"/>
        </w:rPr>
        <w:t xml:space="preserve">Estado: En desarrollo — alcance cerrado, en espera de v1.0 al nacer Vrutal</w:t>
      </w:r>
    </w:p>
    <w:p>
      <w:pPr>
        <w:spacing w:after="30"/>
      </w:pPr>
      <w:r>
        <w:rPr>
          <w:rFonts w:ascii="Inter" w:cs="Inter" w:eastAsia="Inter" w:hAnsi="Inter"/>
          <w:color w:val="6B6B6B"/>
          <w:sz w:val="18"/>
          <w:szCs w:val="18"/>
        </w:rPr>
        <w:t xml:space="preserve">Sustituye al borrador Brand Book v0.1. Renumerado de v1.0 a v0.9 por la regla de versionado del sistema (LAB 00, Cap. 6).</w:t>
      </w:r>
    </w:p>
    <w:p>
      <w:pPr>
        <w:spacing w:after="30"/>
      </w:pPr>
      <w:r>
        <w:rPr>
          <w:rFonts w:ascii="Inter" w:cs="Inter" w:eastAsia="Inter" w:hAnsi="Inter"/>
          <w:color w:val="6B6B6B"/>
          <w:sz w:val="18"/>
          <w:szCs w:val="18"/>
        </w:rPr>
        <w:t xml:space="preserve">Última actualización: 4 de septiembre de 2026</w:t>
      </w:r>
    </w:p>
    <w:p>
      <w:pPr>
        <w:spacing w:after="30"/>
      </w:pPr>
      <w:r>
        <w:rPr>
          <w:rFonts w:ascii="Inter" w:cs="Inter" w:eastAsia="Inter" w:hAnsi="Inter"/>
          <w:color w:val="6B6B6B"/>
          <w:sz w:val="18"/>
          <w:szCs w:val="18"/>
        </w:rPr>
        <w:t xml:space="preserve">Barcelona, España</w:t>
      </w:r>
    </w:p>
    <w:p>
      <w:pPr>
        <w:sectPr>
          <w:pgSz w:w="11906" w:h="16838" w:orient="portrait"/>
          <w:pgMar w:top="900" w:right="900" w:bottom="900" w:left="900" w:header="708" w:footer="708" w:gutter="0"/>
          <w:pgNumType/>
          <w:docGrid w:linePitch="360"/>
        </w:sectPr>
      </w:pPr>
    </w:p>
    <w:p>
      <w:pPr>
        <w:spacing w:after="200" w:before="0"/>
      </w:pPr>
      <w:r>
        <w:rPr>
          <w:rFonts w:ascii="Inter" w:cs="Inter" w:eastAsia="Inter" w:hAnsi="Inter"/>
          <w:b/>
          <w:bCs/>
          <w:color w:val="0B0C0F"/>
          <w:sz w:val="34"/>
          <w:szCs w:val="34"/>
        </w:rPr>
        <w:t xml:space="preserve">Antes de empezar</w:t>
      </w:r>
    </w:p>
    <w:p>
      <w:pPr>
        <w:spacing w:after="120" w:before="320"/>
      </w:pPr>
      <w:r>
        <w:rPr>
          <w:rFonts w:ascii="Inter" w:cs="Inter" w:eastAsia="Inter" w:hAnsi="Inter"/>
          <w:b/>
          <w:bCs/>
          <w:color w:val="0B0C0F"/>
          <w:sz w:val="25"/>
          <w:szCs w:val="25"/>
        </w:rPr>
        <w:t xml:space="preserve">Cómo se usa este documento</w:t>
      </w:r>
    </w:p>
    <w:p>
      <w:pPr>
        <w:spacing w:after="180" w:line="300"/>
        <w:jc w:val="left"/>
      </w:pPr>
      <w:r>
        <w:rPr>
          <w:rFonts w:ascii="Inter" w:cs="Inter" w:eastAsia="Inter" w:hAnsi="Inter"/>
          <w:b w:val="false"/>
          <w:bCs w:val="false"/>
          <w:i w:val="false"/>
          <w:iCs w:val="false"/>
          <w:color w:val="0B0C0F"/>
          <w:sz w:val="21"/>
          <w:szCs w:val="21"/>
        </w:rPr>
        <w:t xml:space="preserve">Este libro no describe una preferencia estética. Fija las reglas que hacen que Vrutal Labs se reconozca sin necesidad de leer el nombre.</w:t>
      </w:r>
    </w:p>
    <w:p>
      <w:pPr>
        <w:spacing w:after="180" w:line="300"/>
        <w:jc w:val="left"/>
      </w:pPr>
      <w:r>
        <w:rPr>
          <w:rFonts w:ascii="Inter" w:cs="Inter" w:eastAsia="Inter" w:hAnsi="Inter"/>
          <w:b w:val="false"/>
          <w:bCs w:val="false"/>
          <w:i w:val="false"/>
          <w:iCs w:val="false"/>
          <w:color w:val="0B0C0F"/>
          <w:sz w:val="21"/>
          <w:szCs w:val="21"/>
        </w:rPr>
        <w:t xml:space="preserve">Contiene dos cosas distintas y conviene no confundirlas. La primera es el fundamento: quiénes somos, qué prometemos y con qué voz hablamos. Eso cambia despacio y solo por decisión explícita. La segunda es el sistema: color, tipografía, logotipo, retícula y aplicaciones. Eso evoluciona con más frecuencia, pero nunca de forma silenciosa.</w:t>
      </w:r>
    </w:p>
    <w:p>
      <w:pPr>
        <w:spacing w:after="100" w:before="240"/>
      </w:pPr>
      <w:r>
        <w:rPr>
          <w:rFonts w:ascii="Inter" w:cs="Inter" w:eastAsia="Inter" w:hAnsi="Inter"/>
          <w:b/>
          <w:bCs/>
          <w:color w:val="0B0C0F"/>
          <w:sz w:val="21"/>
          <w:szCs w:val="21"/>
        </w:rPr>
        <w:t xml:space="preserve">Tres reglas de uso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Lo que no está aquí, no está decidido. Si necesitas resolver algo que este documento no cubre, no improvises en silencio: decídelo, aplícalo y añádelo en la siguiente versión.</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Ningún archivo se redibuja. El logotipo, los iconos y las láminas se escalan desde los maestros vectoriales entregados. Un logotipo redibujado a ojo deja de ser el mismo logotipo.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Todo cambio genera versión. Este documento nunca se sobrescribe. Se versiona, con fecha y motivo, en el registro final.</w:t>
      </w:r>
    </w:p>
    <w:p>
      <w:pPr>
        <w:spacing w:after="100" w:before="240"/>
      </w:pPr>
      <w:r>
        <w:rPr>
          <w:rFonts w:ascii="Inter" w:cs="Inter" w:eastAsia="Inter" w:hAnsi="Inter"/>
          <w:b/>
          <w:bCs/>
          <w:color w:val="0B0C0F"/>
          <w:sz w:val="21"/>
          <w:szCs w:val="21"/>
        </w:rPr>
        <w:t xml:space="preserve">Qué documento manda</w:t>
      </w:r>
    </w:p>
    <w:p>
      <w:pPr>
        <w:spacing w:after="220" w:line="300"/>
      </w:pPr>
      <w:r>
        <w:rPr>
          <w:rFonts w:ascii="Inter" w:cs="Inter" w:eastAsia="Inter" w:hAnsi="Inter"/>
          <w:i/>
          <w:iCs/>
          <w:color w:val="6B6B6B"/>
          <w:sz w:val="21"/>
          <w:szCs w:val="21"/>
        </w:rPr>
        <w:t xml:space="preserve">Vista rápida del sistema cromático. Detalle completo en la Parte III.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4850"/>
      </w:tblGrid>
      <w:tr>
        <w:trPr>
          <w:tblHeader/>
        </w:trPr>
        <w:tc>
          <w:tcPr>
            <w:tcW w:type="dxa" w:w="45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Si el conflicto es sobre…</w:t>
            </w:r>
          </w:p>
        </w:tc>
        <w:tc>
          <w:tcPr>
            <w:tcW w:type="dxa" w:w="485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Manda…</w:t>
            </w:r>
          </w:p>
        </w:tc>
      </w:tr>
      <w:tr>
        <w:tc>
          <w:tcPr>
            <w:tcW w:type="dxa" w:w="45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Color, tipografía, logotipo, retícula</w:t>
            </w:r>
          </w:p>
        </w:tc>
        <w:tc>
          <w:tcPr>
            <w:tcW w:type="dxa" w:w="48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Este Brand Book, versión más reciente</w:t>
            </w:r>
          </w:p>
        </w:tc>
      </w:tr>
      <w:tr>
        <w:tc>
          <w:tcPr>
            <w:tcW w:type="dxa" w:w="45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Propósito, misión, principios, modelo de negocio</w:t>
            </w:r>
          </w:p>
        </w:tc>
        <w:tc>
          <w:tcPr>
            <w:tcW w:type="dxa" w:w="48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El Documento Fundacional (LAB 01)</w:t>
            </w:r>
          </w:p>
        </w:tc>
      </w:tr>
      <w:tr>
        <w:tc>
          <w:tcPr>
            <w:tcW w:type="dxa" w:w="45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Comportamiento e implementación de la web</w:t>
            </w:r>
          </w:p>
        </w:tc>
        <w:tc>
          <w:tcPr>
            <w:tcW w:type="dxa" w:w="48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El Web Build Brief y sus mockups (LAB 09)</w:t>
            </w:r>
          </w:p>
        </w:tc>
      </w:tr>
      <w:tr>
        <w:tc>
          <w:tcPr>
            <w:tcW w:type="dxa" w:w="45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Cualquier material anterior a agosto de 2026</w:t>
            </w:r>
          </w:p>
        </w:tc>
        <w:tc>
          <w:tcPr>
            <w:tcW w:type="dxa" w:w="48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Nada. Está obsoleto.</w:t>
            </w:r>
          </w:p>
        </w:tc>
      </w:tr>
    </w:tbl>
    <w:p>
      <w:r>
        <w:br w:type="page"/>
      </w:r>
    </w:p>
    <w:p>
      <w:pPr>
        <w:pBdr>
          <w:bottom w:val="single" w:color="6C4CFF" w:sz="10" w:space="6"/>
        </w:pBdr>
        <w:spacing w:after="60" w:before="480"/>
      </w:pPr>
      <w:r>
        <w:rPr>
          <w:rFonts w:ascii="Consolas" w:cs="Consolas" w:eastAsia="Consolas" w:hAnsi="Consolas"/>
          <w:b/>
          <w:bCs/>
          <w:color w:val="6C4CFF"/>
          <w:spacing w:val="20"/>
          <w:sz w:val="17"/>
          <w:szCs w:val="17"/>
        </w:rPr>
        <w:t xml:space="preserve">PARTE I</w:t>
      </w:r>
    </w:p>
    <w:p>
      <w:pPr>
        <w:spacing w:after="200" w:before="0"/>
      </w:pPr>
      <w:r>
        <w:rPr>
          <w:rFonts w:ascii="Inter" w:cs="Inter" w:eastAsia="Inter" w:hAnsi="Inter"/>
          <w:b/>
          <w:bCs/>
          <w:color w:val="0B0C0F"/>
          <w:sz w:val="34"/>
          <w:szCs w:val="34"/>
        </w:rPr>
        <w:t xml:space="preserve">01 Fundamento</w:t>
      </w:r>
    </w:p>
    <w:p>
      <w:pPr>
        <w:spacing w:after="220" w:line="300"/>
      </w:pPr>
      <w:r>
        <w:rPr>
          <w:rFonts w:ascii="Inter" w:cs="Inter" w:eastAsia="Inter" w:hAnsi="Inter"/>
          <w:i/>
          <w:iCs/>
          <w:color w:val="6B6B6B"/>
          <w:sz w:val="21"/>
          <w:szCs w:val="21"/>
        </w:rPr>
        <w:t xml:space="preserve">Todo el sistema visual y verbal que sigue existe para sostener las frases de esta sección. Si una decisión de diseño no las refuerza, es decoración.</w:t>
      </w:r>
    </w:p>
    <w:p>
      <w:pPr>
        <w:spacing w:after="120" w:before="320"/>
      </w:pPr>
      <w:r>
        <w:rPr>
          <w:rFonts w:ascii="Inter" w:cs="Inter" w:eastAsia="Inter" w:hAnsi="Inter"/>
          <w:b/>
          <w:bCs/>
          <w:color w:val="0B0C0F"/>
          <w:sz w:val="25"/>
          <w:szCs w:val="25"/>
        </w:rPr>
        <w:t xml:space="preserve">Qué somos</w:t>
      </w:r>
    </w:p>
    <w:p>
      <w:pPr>
        <w:spacing w:after="180" w:line="300"/>
        <w:jc w:val="left"/>
      </w:pPr>
      <w:r>
        <w:rPr>
          <w:rFonts w:ascii="Inter" w:cs="Inter" w:eastAsia="Inter" w:hAnsi="Inter"/>
          <w:b w:val="false"/>
          <w:bCs w:val="false"/>
          <w:i w:val="false"/>
          <w:iCs w:val="false"/>
          <w:color w:val="0B0C0F"/>
          <w:sz w:val="21"/>
          <w:szCs w:val="21"/>
        </w:rPr>
        <w:t xml:space="preserve">Vrutal Labs diseña organizaciones aumentadas por inteligencia artificial. Incorporamos a una empresa una estructura paralela de especialistas agénticos que trabaja junto al equipo humano, absorbiendo el trabajo repetitivo y analítico.</w:t>
      </w:r>
    </w:p>
    <w:p>
      <w:pPr>
        <w:spacing w:after="180" w:line="300"/>
        <w:jc w:val="left"/>
      </w:pPr>
      <w:r>
        <w:rPr>
          <w:rFonts w:ascii="Inter" w:cs="Inter" w:eastAsia="Inter" w:hAnsi="Inter"/>
          <w:b w:val="false"/>
          <w:bCs w:val="false"/>
          <w:i w:val="false"/>
          <w:iCs w:val="false"/>
          <w:color w:val="0B0C0F"/>
          <w:sz w:val="21"/>
          <w:szCs w:val="21"/>
        </w:rPr>
        <w:t xml:space="preserve">No somos una agencia. No somos una consultora. No somos una software house. No somos una empresa de automatización. Somos arquitectos de empresas inteligentes, y el producto es una empresa distinta, no un proyecto entregado.</w:t>
      </w:r>
    </w:p>
    <w:p>
      <w:pPr>
        <w:spacing w:after="100" w:before="240"/>
      </w:pPr>
      <w:r>
        <w:rPr>
          <w:rFonts w:ascii="Inter" w:cs="Inter" w:eastAsia="Inter" w:hAnsi="Inter"/>
          <w:b/>
          <w:bCs/>
          <w:color w:val="0B0C0F"/>
          <w:sz w:val="21"/>
          <w:szCs w:val="21"/>
        </w:rPr>
        <w:t xml:space="preserve">Propósito</w:t>
      </w:r>
    </w:p>
    <w:p>
      <w:pPr>
        <w:spacing w:after="180" w:line="300"/>
        <w:jc w:val="left"/>
      </w:pPr>
      <w:r>
        <w:rPr>
          <w:rFonts w:ascii="Inter" w:cs="Inter" w:eastAsia="Inter" w:hAnsi="Inter"/>
          <w:b w:val="false"/>
          <w:bCs w:val="false"/>
          <w:i w:val="false"/>
          <w:iCs w:val="false"/>
          <w:color w:val="0B0C0F"/>
          <w:sz w:val="21"/>
          <w:szCs w:val="21"/>
        </w:rPr>
        <w:t xml:space="preserve">Construir empresas capaces de evolucionar más rápido que su entorno.</w:t>
      </w:r>
    </w:p>
    <w:p>
      <w:pPr>
        <w:spacing w:after="100" w:before="240"/>
      </w:pPr>
      <w:r>
        <w:rPr>
          <w:rFonts w:ascii="Inter" w:cs="Inter" w:eastAsia="Inter" w:hAnsi="Inter"/>
          <w:b/>
          <w:bCs/>
          <w:color w:val="0B0C0F"/>
          <w:sz w:val="21"/>
          <w:szCs w:val="21"/>
        </w:rPr>
        <w:t xml:space="preserve">Misión</w:t>
      </w:r>
    </w:p>
    <w:p>
      <w:pPr>
        <w:spacing w:after="180" w:line="300"/>
        <w:jc w:val="left"/>
      </w:pPr>
      <w:r>
        <w:rPr>
          <w:rFonts w:ascii="Inter" w:cs="Inter" w:eastAsia="Inter" w:hAnsi="Inter"/>
          <w:b w:val="false"/>
          <w:bCs w:val="false"/>
          <w:i w:val="false"/>
          <w:iCs w:val="false"/>
          <w:color w:val="0B0C0F"/>
          <w:sz w:val="21"/>
          <w:szCs w:val="21"/>
        </w:rPr>
        <w:t xml:space="preserve">Ayudar a las empresas —especialmente las pequeñas y medianas— a escalar sus operaciones mediante inteligencia artificial y agentes especializados, sin incrementar sus costes fijos de estructura.</w:t>
      </w:r>
    </w:p>
    <w:p>
      <w:pPr>
        <w:spacing w:after="100" w:before="240"/>
      </w:pPr>
      <w:r>
        <w:rPr>
          <w:rFonts w:ascii="Inter" w:cs="Inter" w:eastAsia="Inter" w:hAnsi="Inter"/>
          <w:b/>
          <w:bCs/>
          <w:color w:val="0B0C0F"/>
          <w:sz w:val="21"/>
          <w:szCs w:val="21"/>
        </w:rPr>
        <w:t xml:space="preserve">Visión</w:t>
      </w:r>
    </w:p>
    <w:p>
      <w:pPr>
        <w:spacing w:after="60" w:line="300"/>
        <w:jc w:val="left"/>
      </w:pPr>
      <w:r>
        <w:rPr>
          <w:rFonts w:ascii="Inter" w:cs="Inter" w:eastAsia="Inter" w:hAnsi="Inter"/>
          <w:b/>
          <w:bCs/>
          <w:i w:val="false"/>
          <w:iCs w:val="false"/>
          <w:color w:val="0B0C0F"/>
          <w:sz w:val="21"/>
          <w:szCs w:val="21"/>
        </w:rPr>
        <w:t xml:space="preserve">A cinco años</w:t>
      </w:r>
    </w:p>
    <w:p>
      <w:pPr>
        <w:spacing w:after="180" w:line="300"/>
        <w:jc w:val="left"/>
      </w:pPr>
      <w:r>
        <w:rPr>
          <w:rFonts w:ascii="Inter" w:cs="Inter" w:eastAsia="Inter" w:hAnsi="Inter"/>
          <w:b w:val="false"/>
          <w:bCs w:val="false"/>
          <w:i w:val="false"/>
          <w:iCs w:val="false"/>
          <w:color w:val="0B0C0F"/>
          <w:sz w:val="21"/>
          <w:szCs w:val="21"/>
        </w:rPr>
        <w:t xml:space="preserve">Vrutal Labs es la referencia en consultoría, servicios y empleados agénticos para empresas que quieren escalar rápido: internacionalización, branding, auditoría, reporting, productividad y logística, sostenido por sistemas de IA diseñados a medida de cada flujo de trabajo.</w:t>
      </w:r>
    </w:p>
    <w:p>
      <w:pPr>
        <w:spacing w:after="60" w:line="300"/>
        <w:jc w:val="left"/>
      </w:pPr>
      <w:r>
        <w:rPr>
          <w:rFonts w:ascii="Inter" w:cs="Inter" w:eastAsia="Inter" w:hAnsi="Inter"/>
          <w:b/>
          <w:bCs/>
          <w:i w:val="false"/>
          <w:iCs w:val="false"/>
          <w:color w:val="0B0C0F"/>
          <w:sz w:val="21"/>
          <w:szCs w:val="21"/>
        </w:rPr>
        <w:t xml:space="preserve">A veinte años</w:t>
      </w:r>
    </w:p>
    <w:p>
      <w:pPr>
        <w:spacing w:after="180" w:line="300"/>
        <w:jc w:val="left"/>
      </w:pPr>
      <w:r>
        <w:rPr>
          <w:rFonts w:ascii="Inter" w:cs="Inter" w:eastAsia="Inter" w:hAnsi="Inter"/>
          <w:b w:val="false"/>
          <w:bCs w:val="false"/>
          <w:i w:val="false"/>
          <w:iCs w:val="false"/>
          <w:color w:val="0B0C0F"/>
          <w:sz w:val="21"/>
          <w:szCs w:val="21"/>
        </w:rPr>
        <w:t xml:space="preserve">Las mejores organizaciones del mundo no se construirán únicamente con personas. Se construirán mediante la colaboración entre personas, inteligencia artificial y sistemas capaces de aprender continuamente. Que construir así sea tan normal como hoy lo es trabajar con internet.</w:t>
      </w:r>
    </w:p>
    <w:p>
      <w:pPr>
        <w:spacing w:after="100" w:before="240"/>
      </w:pPr>
      <w:r>
        <w:rPr>
          <w:rFonts w:ascii="Inter" w:cs="Inter" w:eastAsia="Inter" w:hAnsi="Inter"/>
          <w:b/>
          <w:bCs/>
          <w:color w:val="0B0C0F"/>
          <w:sz w:val="21"/>
          <w:szCs w:val="21"/>
        </w:rPr>
        <w:t xml:space="preserve">Promesa</w:t>
      </w:r>
    </w:p>
    <w:p>
      <w:pPr>
        <w:spacing w:after="180" w:line="300"/>
        <w:jc w:val="left"/>
      </w:pPr>
      <w:r>
        <w:rPr>
          <w:rFonts w:ascii="Inter" w:cs="Inter" w:eastAsia="Inter" w:hAnsi="Inter"/>
          <w:b/>
          <w:bCs/>
          <w:i w:val="false"/>
          <w:iCs w:val="false"/>
          <w:color w:val="0B0C0F"/>
          <w:sz w:val="21"/>
          <w:szCs w:val="21"/>
        </w:rPr>
        <w:t xml:space="preserve">No implementamos inteligencia artificial. Diseñamos organizaciones inteligentes.</w:t>
      </w:r>
    </w:p>
    <w:p>
      <w:pPr>
        <w:spacing w:after="180" w:line="300"/>
        <w:jc w:val="left"/>
      </w:pPr>
      <w:r>
        <w:rPr>
          <w:rFonts w:ascii="Inter" w:cs="Inter" w:eastAsia="Inter" w:hAnsi="Inter"/>
          <w:b w:val="false"/>
          <w:bCs w:val="false"/>
          <w:i w:val="false"/>
          <w:iCs w:val="false"/>
          <w:color w:val="0B0C0F"/>
          <w:sz w:val="21"/>
          <w:szCs w:val="21"/>
        </w:rPr>
        <w:t xml:space="preserve">La promesa se sostiene en una distinción operativa, no retórica: multiplicamos la capacidad de una organización mediante equipos digitales coordinados, no mediante agentes aislados.</w:t>
      </w:r>
    </w:p>
    <w:p>
      <w:r>
        <w:br w:type="page"/>
      </w:r>
    </w:p>
    <w:p>
      <w:pPr>
        <w:spacing w:after="120" w:before="320"/>
      </w:pPr>
      <w:r>
        <w:rPr>
          <w:rFonts w:ascii="Inter" w:cs="Inter" w:eastAsia="Inter" w:hAnsi="Inter"/>
          <w:b/>
          <w:bCs/>
          <w:color w:val="0B0C0F"/>
          <w:sz w:val="25"/>
          <w:szCs w:val="25"/>
        </w:rPr>
        <w:t xml:space="preserve">Historia de marca</w:t>
      </w:r>
    </w:p>
    <w:p>
      <w:pPr>
        <w:spacing w:after="180" w:line="300"/>
        <w:jc w:val="left"/>
      </w:pPr>
      <w:r>
        <w:rPr>
          <w:rFonts w:ascii="Inter" w:cs="Inter" w:eastAsia="Inter" w:hAnsi="Inter"/>
          <w:b w:val="false"/>
          <w:bCs w:val="false"/>
          <w:i w:val="false"/>
          <w:iCs w:val="false"/>
          <w:color w:val="0B0C0F"/>
          <w:sz w:val="21"/>
          <w:szCs w:val="21"/>
        </w:rPr>
        <w:t xml:space="preserve">Toda empresa que existe hoy fue diseñada para un mundo que ya no existe: uno donde crecer significaba contratar, y escalar significaba coordinar a más personas, más reuniones, más procesos.</w:t>
      </w:r>
    </w:p>
    <w:p>
      <w:pPr>
        <w:spacing w:after="180" w:line="300"/>
        <w:jc w:val="left"/>
      </w:pPr>
      <w:r>
        <w:rPr>
          <w:rFonts w:ascii="Inter" w:cs="Inter" w:eastAsia="Inter" w:hAnsi="Inter"/>
          <w:b w:val="false"/>
          <w:bCs w:val="false"/>
          <w:i w:val="false"/>
          <w:iCs w:val="false"/>
          <w:color w:val="0B0C0F"/>
          <w:sz w:val="21"/>
          <w:szCs w:val="21"/>
        </w:rPr>
        <w:t xml:space="preserve">Ese mundo se está acabando.</w:t>
      </w:r>
    </w:p>
    <w:p>
      <w:pPr>
        <w:spacing w:after="180" w:line="300"/>
        <w:jc w:val="left"/>
      </w:pPr>
      <w:r>
        <w:rPr>
          <w:rFonts w:ascii="Inter" w:cs="Inter" w:eastAsia="Inter" w:hAnsi="Inter"/>
          <w:b w:val="false"/>
          <w:bCs w:val="false"/>
          <w:i w:val="false"/>
          <w:iCs w:val="false"/>
          <w:color w:val="0B0C0F"/>
          <w:sz w:val="21"/>
          <w:szCs w:val="21"/>
        </w:rPr>
        <w:t xml:space="preserve">Hoy conviven en el mercado dos tipos de empresas: las que siguen creciendo de forma lineal —una persona, un proceso, un cliente más— y las que han empezado a construir un segundo organigrama, formado por agentes inteligentes que trabajan junto a su equipo, sin descansar, sin olvidar, sin perder contexto.</w:t>
      </w:r>
    </w:p>
    <w:p>
      <w:pPr>
        <w:spacing w:after="180" w:line="300"/>
        <w:jc w:val="left"/>
      </w:pPr>
      <w:r>
        <w:rPr>
          <w:rFonts w:ascii="Inter" w:cs="Inter" w:eastAsia="Inter" w:hAnsi="Inter"/>
          <w:b w:val="false"/>
          <w:bCs w:val="false"/>
          <w:i w:val="false"/>
          <w:iCs w:val="false"/>
          <w:color w:val="0B0C0F"/>
          <w:sz w:val="21"/>
          <w:szCs w:val="21"/>
        </w:rPr>
        <w:t xml:space="preserve">Vrutal Labs nace para diseñar esa segunda estructura en empresas que todavía no la tienen: negocios de menos de 50 personas que compiten contra compañías que ya piensan como organismos, no como jerarquías.</w:t>
      </w:r>
    </w:p>
    <w:p>
      <w:pPr>
        <w:pBdr>
          <w:left w:val="single" w:color="6C4CFF" w:sz="22" w:space="14"/>
        </w:pBdr>
        <w:spacing w:after="220" w:before="60" w:line="320"/>
        <w:ind w:left="340"/>
      </w:pPr>
      <w:r>
        <w:rPr>
          <w:rFonts w:ascii="Inter" w:cs="Inter" w:eastAsia="Inter" w:hAnsi="Inter"/>
          <w:i/>
          <w:iCs/>
          <w:color w:val="0B0C0F"/>
          <w:sz w:val="24"/>
          <w:szCs w:val="24"/>
        </w:rPr>
        <w:t xml:space="preserve">No creemos que la IA vaya a sustituir personas. Creemos que va a</w:t>
      </w:r>
      <w:r>
        <w:rPr>
          <w:rFonts w:ascii="Inter" w:cs="Inter" w:eastAsia="Inter" w:hAnsi="Inter"/>
          <w:i/>
          <w:iCs/>
          <w:color w:val="0B0C0F"/>
          <w:sz w:val="24"/>
          <w:szCs w:val="24"/>
        </w:rPr>
        <w:br/>
        <w:t xml:space="preserve">sustituir a las empresas que no sepan evolucionar con ella.</w:t>
      </w:r>
    </w:p>
    <w:p>
      <w:pPr>
        <w:spacing w:after="180" w:line="300"/>
        <w:jc w:val="left"/>
      </w:pPr>
      <w:r>
        <w:rPr>
          <w:rFonts w:ascii="Inter" w:cs="Inter" w:eastAsia="Inter" w:hAnsi="Inter"/>
          <w:b w:val="false"/>
          <w:bCs w:val="false"/>
          <w:i w:val="false"/>
          <w:iCs w:val="false"/>
          <w:color w:val="0B0C0F"/>
          <w:sz w:val="21"/>
          <w:szCs w:val="21"/>
        </w:rPr>
        <w:t xml:space="preserve">Por eso no vendemos herramientas ni proyectos de automatización. Diseñamos arquitectura: la estructura agéntica paralela que permite que una empresa pequeña piense, decida y actúe a la velocidad de una mucho más grande.</w:t>
      </w:r>
    </w:p>
    <w:p>
      <w:pPr>
        <w:spacing w:after="180" w:line="300"/>
        <w:jc w:val="left"/>
      </w:pPr>
      <w:r>
        <w:rPr>
          <w:rFonts w:ascii="Inter" w:cs="Inter" w:eastAsia="Inter" w:hAnsi="Inter"/>
          <w:b w:val="false"/>
          <w:bCs w:val="false"/>
          <w:i w:val="false"/>
          <w:iCs w:val="false"/>
          <w:color w:val="0B0C0F"/>
          <w:sz w:val="21"/>
          <w:szCs w:val="21"/>
        </w:rPr>
        <w:t xml:space="preserve">Construimos empresas inteligentes. Y creemos que dentro de veinte años, construir así será tan normal como hoy lo es trabajar con internet.</w:t>
      </w:r>
    </w:p>
    <w:p>
      <w:pPr>
        <w:spacing w:after="260"/>
      </w:pPr>
      <w:r>
        <w:rPr>
          <w:rFonts w:ascii="Inter" w:cs="Inter" w:eastAsia="Inter" w:hAnsi="Inter"/>
          <w:i/>
          <w:iCs/>
          <w:color w:val="6B6B6B"/>
          <w:sz w:val="18"/>
          <w:szCs w:val="18"/>
        </w:rPr>
        <w:t xml:space="preserve">Fuente: LAB 01 · Foundation, ampliado con material de posicionamiento de LAB 03.</w:t>
      </w:r>
    </w:p>
    <w:p>
      <w:r>
        <w:br w:type="page"/>
      </w:r>
    </w:p>
    <w:p>
      <w:pPr>
        <w:spacing w:after="120" w:before="320"/>
      </w:pPr>
      <w:r>
        <w:rPr>
          <w:rFonts w:ascii="Inter" w:cs="Inter" w:eastAsia="Inter" w:hAnsi="Inter"/>
          <w:b/>
          <w:bCs/>
          <w:color w:val="0B0C0F"/>
          <w:sz w:val="25"/>
          <w:szCs w:val="25"/>
        </w:rPr>
        <w:t xml:space="preserve">Manifiesto</w:t>
      </w:r>
    </w:p>
    <w:p>
      <w:pPr>
        <w:spacing w:after="220" w:line="300"/>
      </w:pPr>
      <w:r>
        <w:rPr>
          <w:rFonts w:ascii="Inter" w:cs="Inter" w:eastAsia="Inter" w:hAnsi="Inter"/>
          <w:i/>
          <w:iCs/>
          <w:color w:val="6B6B6B"/>
          <w:sz w:val="21"/>
          <w:szCs w:val="21"/>
        </w:rPr>
        <w:t xml:space="preserve">Cinco frases. Se citan enteras o no se citan.</w:t>
      </w:r>
    </w:p>
    <w:p>
      <w:pPr>
        <w:spacing w:after="180" w:line="300"/>
        <w:jc w:val="left"/>
      </w:pPr>
      <w:r>
        <w:rPr>
          <w:rFonts w:ascii="Inter" w:cs="Inter" w:eastAsia="Inter" w:hAnsi="Inter"/>
          <w:b/>
          <w:bCs/>
          <w:i w:val="false"/>
          <w:iCs w:val="false"/>
          <w:color w:val="0B0C0F"/>
          <w:sz w:val="21"/>
          <w:szCs w:val="21"/>
        </w:rPr>
        <w:t xml:space="preserve">Las empresas no necesitan más herramientas. Necesitan mejores equipos.</w:t>
      </w:r>
    </w:p>
    <w:p>
      <w:pPr>
        <w:spacing w:after="180" w:line="300"/>
        <w:jc w:val="left"/>
      </w:pPr>
      <w:r>
        <w:rPr>
          <w:rFonts w:ascii="Inter" w:cs="Inter" w:eastAsia="Inter" w:hAnsi="Inter"/>
          <w:b/>
          <w:bCs/>
          <w:i w:val="false"/>
          <w:iCs w:val="false"/>
          <w:color w:val="0B0C0F"/>
          <w:sz w:val="21"/>
          <w:szCs w:val="21"/>
        </w:rPr>
        <w:t xml:space="preserve">La IA no sustituye personas. Sustituye a las empresas que se niegan a evolucionar.</w:t>
      </w:r>
    </w:p>
    <w:p>
      <w:pPr>
        <w:spacing w:after="180" w:line="300"/>
        <w:jc w:val="left"/>
      </w:pPr>
      <w:r>
        <w:rPr>
          <w:rFonts w:ascii="Inter" w:cs="Inter" w:eastAsia="Inter" w:hAnsi="Inter"/>
          <w:b/>
          <w:bCs/>
          <w:i w:val="false"/>
          <w:iCs w:val="false"/>
          <w:color w:val="0B0C0F"/>
          <w:sz w:val="21"/>
          <w:szCs w:val="21"/>
        </w:rPr>
        <w:t xml:space="preserve">No optimizamos empresas. Las reinventamos.</w:t>
      </w:r>
    </w:p>
    <w:p>
      <w:pPr>
        <w:spacing w:after="180" w:line="300"/>
        <w:jc w:val="left"/>
      </w:pPr>
      <w:r>
        <w:rPr>
          <w:rFonts w:ascii="Inter" w:cs="Inter" w:eastAsia="Inter" w:hAnsi="Inter"/>
          <w:b/>
          <w:bCs/>
          <w:i w:val="false"/>
          <w:iCs w:val="false"/>
          <w:color w:val="0B0C0F"/>
          <w:sz w:val="21"/>
          <w:szCs w:val="21"/>
        </w:rPr>
        <w:t xml:space="preserve">No vendemos automatización. Construimos evolución.</w:t>
      </w:r>
    </w:p>
    <w:p>
      <w:pPr>
        <w:spacing w:after="180" w:line="300"/>
        <w:jc w:val="left"/>
      </w:pPr>
      <w:r>
        <w:rPr>
          <w:rFonts w:ascii="Inter" w:cs="Inter" w:eastAsia="Inter" w:hAnsi="Inter"/>
          <w:b/>
          <w:bCs/>
          <w:i w:val="false"/>
          <w:iCs w:val="false"/>
          <w:color w:val="0B0C0F"/>
          <w:sz w:val="21"/>
          <w:szCs w:val="21"/>
        </w:rPr>
        <w:t xml:space="preserve">Construimos departamentos digitales, no herramientas sueltas.</w:t>
      </w:r>
    </w:p>
    <w:p>
      <w:pPr>
        <w:spacing w:after="120" w:before="320"/>
      </w:pPr>
      <w:r>
        <w:rPr>
          <w:rFonts w:ascii="Inter" w:cs="Inter" w:eastAsia="Inter" w:hAnsi="Inter"/>
          <w:b/>
          <w:bCs/>
          <w:color w:val="0B0C0F"/>
          <w:sz w:val="25"/>
          <w:szCs w:val="25"/>
        </w:rPr>
        <w:t xml:space="preserve">Declaración de posicionamiento</w:t>
      </w:r>
    </w:p>
    <w:p>
      <w:pPr>
        <w:pBdr>
          <w:left w:val="single" w:color="6C4CFF" w:sz="22" w:space="14"/>
        </w:pBdr>
        <w:spacing w:after="220" w:before="60" w:line="320"/>
        <w:ind w:left="340"/>
      </w:pPr>
      <w:r>
        <w:rPr>
          <w:rFonts w:ascii="Inter" w:cs="Inter" w:eastAsia="Inter" w:hAnsi="Inter"/>
          <w:i/>
          <w:iCs/>
          <w:color w:val="0B0C0F"/>
          <w:sz w:val="24"/>
          <w:szCs w:val="24"/>
        </w:rPr>
        <w:t xml:space="preserve">Para directores y fundadores de empresas B2B de menos de 50 empleados y</w:t>
      </w:r>
      <w:r>
        <w:rPr>
          <w:rFonts w:ascii="Inter" w:cs="Inter" w:eastAsia="Inter" w:hAnsi="Inter"/>
          <w:i/>
          <w:iCs/>
          <w:color w:val="0B0C0F"/>
          <w:sz w:val="24"/>
          <w:szCs w:val="24"/>
        </w:rPr>
        <w:br/>
        <w:t xml:space="preserve">menos de 40 millones de euros de facturación que necesitan crecer más</w:t>
      </w:r>
      <w:r>
        <w:rPr>
          <w:rFonts w:ascii="Inter" w:cs="Inter" w:eastAsia="Inter" w:hAnsi="Inter"/>
          <w:i/>
          <w:iCs/>
          <w:color w:val="0B0C0F"/>
          <w:sz w:val="24"/>
          <w:szCs w:val="24"/>
        </w:rPr>
        <w:br/>
        <w:t xml:space="preserve">rápido de lo que su estructura actual permite, Vrutal Labs es la firma</w:t>
      </w:r>
      <w:r>
        <w:rPr>
          <w:rFonts w:ascii="Inter" w:cs="Inter" w:eastAsia="Inter" w:hAnsi="Inter"/>
          <w:i/>
          <w:iCs/>
          <w:color w:val="0B0C0F"/>
          <w:sz w:val="24"/>
          <w:szCs w:val="24"/>
        </w:rPr>
        <w:br/>
        <w:t xml:space="preserve">que diseña la capa agéntica de la organización —un segundo organigrama</w:t>
      </w:r>
      <w:r>
        <w:rPr>
          <w:rFonts w:ascii="Inter" w:cs="Inter" w:eastAsia="Inter" w:hAnsi="Inter"/>
          <w:i/>
          <w:iCs/>
          <w:color w:val="0B0C0F"/>
          <w:sz w:val="24"/>
          <w:szCs w:val="24"/>
        </w:rPr>
        <w:br/>
        <w:t xml:space="preserve">de agentes de IA que trabaja en paralelo al equipo humano. A diferencia</w:t>
      </w:r>
      <w:r>
        <w:rPr>
          <w:rFonts w:ascii="Inter" w:cs="Inter" w:eastAsia="Inter" w:hAnsi="Inter"/>
          <w:i/>
          <w:iCs/>
          <w:color w:val="0B0C0F"/>
          <w:sz w:val="24"/>
          <w:szCs w:val="24"/>
        </w:rPr>
        <w:br/>
        <w:t xml:space="preserve">de las agencias, consultoras, software houses o empresas de</w:t>
      </w:r>
      <w:r>
        <w:rPr>
          <w:rFonts w:ascii="Inter" w:cs="Inter" w:eastAsia="Inter" w:hAnsi="Inter"/>
          <w:i/>
          <w:iCs/>
          <w:color w:val="0B0C0F"/>
          <w:sz w:val="24"/>
          <w:szCs w:val="24"/>
        </w:rPr>
        <w:br/>
        <w:t xml:space="preserve">automatización, no vendemos proyectos ni herramientas sueltas:</w:t>
      </w:r>
      <w:r>
        <w:rPr>
          <w:rFonts w:ascii="Inter" w:cs="Inter" w:eastAsia="Inter" w:hAnsi="Inter"/>
          <w:i/>
          <w:iCs/>
          <w:color w:val="0B0C0F"/>
          <w:sz w:val="24"/>
          <w:szCs w:val="24"/>
        </w:rPr>
        <w:br/>
        <w:t xml:space="preserve">construimos estructura permanente para que la empresa aprenda y</w:t>
      </w:r>
      <w:r>
        <w:rPr>
          <w:rFonts w:ascii="Inter" w:cs="Inter" w:eastAsia="Inter" w:hAnsi="Inter"/>
          <w:i/>
          <w:iCs/>
          <w:color w:val="0B0C0F"/>
          <w:sz w:val="24"/>
          <w:szCs w:val="24"/>
        </w:rPr>
        <w:br/>
        <w:t xml:space="preserve">evolucione por sí misma.</w:t>
      </w:r>
    </w:p>
    <w:p>
      <w:pPr>
        <w:spacing w:after="260"/>
      </w:pPr>
      <w:r>
        <w:rPr>
          <w:rFonts w:ascii="Inter" w:cs="Inter" w:eastAsia="Inter" w:hAnsi="Inter"/>
          <w:i/>
          <w:iCs/>
          <w:color w:val="6B6B6B"/>
          <w:sz w:val="18"/>
          <w:szCs w:val="18"/>
        </w:rPr>
        <w:t xml:space="preserve">Cifra de facturación alineada con LAB 01 · Foundation (Cliente objetivo) y con la sección «A quién hablamos» de la Parte II. La versión previa de este párrafo circulaba con «50M€»; se corrige a 40M€ por ser la cifra ya vigente en el resto del sistema.</w:t>
      </w:r>
    </w:p>
    <w:p>
      <w:pPr>
        <w:spacing w:after="120" w:before="320"/>
      </w:pPr>
      <w:r>
        <w:rPr>
          <w:rFonts w:ascii="Inter" w:cs="Inter" w:eastAsia="Inter" w:hAnsi="Inter"/>
          <w:b/>
          <w:bCs/>
          <w:color w:val="0B0C0F"/>
          <w:sz w:val="25"/>
          <w:szCs w:val="25"/>
        </w:rPr>
        <w:t xml:space="preserve">Posicionamiento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No somos</w:t>
            </w:r>
          </w:p>
        </w:tc>
        <w:tc>
          <w:tcPr>
            <w:tcW w:type="dxa" w:w="4675"/>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Somos</w:t>
            </w:r>
          </w:p>
        </w:tc>
      </w:tr>
      <w:tr>
        <w:tc>
          <w:tcPr>
            <w:tcW w:type="dxa" w:w="4675"/>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Una agencia</w:t>
            </w:r>
          </w:p>
        </w:tc>
        <w:tc>
          <w:tcPr>
            <w:tcW w:type="dxa" w:w="4675"/>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Arquitectos de empresas inteligentes</w:t>
            </w:r>
          </w:p>
        </w:tc>
      </w:tr>
      <w:tr>
        <w:tc>
          <w:tcPr>
            <w:tcW w:type="dxa" w:w="4675"/>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Una consultora</w:t>
            </w:r>
          </w:p>
        </w:tc>
        <w:tc>
          <w:tcPr>
            <w:tcW w:type="dxa" w:w="4675"/>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Diseñadores de la capa agéntica de una organización</w:t>
            </w:r>
          </w:p>
        </w:tc>
      </w:tr>
      <w:tr>
        <w:tc>
          <w:tcPr>
            <w:tcW w:type="dxa" w:w="4675"/>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Una software house</w:t>
            </w:r>
          </w:p>
        </w:tc>
        <w:tc>
          <w:tcPr>
            <w:tcW w:type="dxa" w:w="4675"/>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Constructores de estructura permanente, no de entregables</w:t>
            </w:r>
          </w:p>
        </w:tc>
      </w:tr>
      <w:tr>
        <w:tc>
          <w:tcPr>
            <w:tcW w:type="dxa" w:w="4675"/>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Una empresa de automatización</w:t>
            </w:r>
          </w:p>
        </w:tc>
        <w:tc>
          <w:tcPr>
            <w:tcW w:type="dxa" w:w="4675"/>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Proveedores de capacidad que antes solo tenían las grandes</w:t>
            </w:r>
          </w:p>
        </w:tc>
      </w:tr>
    </w:tbl>
    <w:p>
      <w:pPr>
        <w:spacing w:after="160"/>
      </w:pPr>
    </w:p>
    <w:p>
      <w:pPr>
        <w:spacing w:after="180" w:line="300"/>
        <w:jc w:val="left"/>
      </w:pPr>
      <w:r>
        <w:rPr>
          <w:rFonts w:ascii="Inter" w:cs="Inter" w:eastAsia="Inter" w:hAnsi="Inter"/>
          <w:b w:val="false"/>
          <w:bCs w:val="false"/>
          <w:i w:val="false"/>
          <w:iCs w:val="false"/>
          <w:color w:val="0B0C0F"/>
          <w:sz w:val="21"/>
          <w:szCs w:val="21"/>
        </w:rPr>
        <w:t xml:space="preserve">Contra qué competimos: no contra las agencias ni las consultoras. Contra la inercia —contra la idea de que una empresa pequeña tiene que resignarse a competir con menos capacidad que una grande.</w:t>
      </w:r>
    </w:p>
    <w:p>
      <w:r>
        <w:br w:type="page"/>
      </w:r>
    </w:p>
    <w:p>
      <w:pPr>
        <w:spacing w:after="120" w:before="320"/>
      </w:pPr>
      <w:r>
        <w:rPr>
          <w:rFonts w:ascii="Inter" w:cs="Inter" w:eastAsia="Inter" w:hAnsi="Inter"/>
          <w:b/>
          <w:bCs/>
          <w:color w:val="0B0C0F"/>
          <w:sz w:val="25"/>
          <w:szCs w:val="25"/>
        </w:rPr>
        <w:t xml:space="preserve">Arquetipos</w:t>
      </w:r>
    </w:p>
    <w:p>
      <w:pPr>
        <w:spacing w:after="220" w:line="300"/>
      </w:pPr>
      <w:r>
        <w:rPr>
          <w:rFonts w:ascii="Inter" w:cs="Inter" w:eastAsia="Inter" w:hAnsi="Inter"/>
          <w:i/>
          <w:iCs/>
          <w:color w:val="6B6B6B"/>
          <w:sz w:val="21"/>
          <w:szCs w:val="21"/>
        </w:rPr>
        <w:t xml:space="preserve">Tres arquetipos en jerarquía fija. El orden importa: define qué gana cuando dos impulsos entran en conflicto.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50"/>
      </w:tblGrid>
      <w:tr>
        <w:trPr>
          <w:tblHeader/>
        </w:trPr>
        <w:tc>
          <w:tcPr>
            <w:tcW w:type="dxa" w:w="26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Nivel / Arquetipo</w:t>
            </w:r>
          </w:p>
        </w:tc>
        <w:tc>
          <w:tcPr>
            <w:tcW w:type="dxa" w:w="33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Qué aporta</w:t>
            </w:r>
          </w:p>
        </w:tc>
        <w:tc>
          <w:tcPr>
            <w:tcW w:type="dxa" w:w="345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Cómo se nota en la marca</w:t>
            </w:r>
          </w:p>
        </w:tc>
      </w:tr>
      <w:tr>
        <w:tc>
          <w:tcPr>
            <w:tcW w:type="dxa" w:w="26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Principal — El Mago</w:t>
            </w:r>
          </w:p>
        </w:tc>
        <w:tc>
          <w:tcPr>
            <w:tcW w:type="dxa" w:w="33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Transformación. Hace posible lo imposible.</w:t>
            </w:r>
          </w:p>
        </w:tc>
        <w:tc>
          <w:tcPr>
            <w:tcW w:type="dxa" w:w="34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Ambición en el titular. Prometemos cambio de escala, no mejoras del 5%.</w:t>
            </w:r>
          </w:p>
        </w:tc>
      </w:tr>
      <w:tr>
        <w:tc>
          <w:tcPr>
            <w:tcW w:type="dxa" w:w="26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Secundario — El Sabio</w:t>
            </w:r>
          </w:p>
        </w:tc>
        <w:tc>
          <w:tcPr>
            <w:tcW w:type="dxa" w:w="33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Método, investigación, verdad.</w:t>
            </w:r>
          </w:p>
        </w:tc>
        <w:tc>
          <w:tcPr>
            <w:tcW w:type="dxa" w:w="34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Evidencia citada, cifras con fuente, honestidad sobre lo que no sabemos.</w:t>
            </w:r>
          </w:p>
        </w:tc>
      </w:tr>
      <w:tr>
        <w:tc>
          <w:tcPr>
            <w:tcW w:type="dxa" w:w="26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Terciario — El Rebelde</w:t>
            </w:r>
          </w:p>
        </w:tc>
        <w:tc>
          <w:tcPr>
            <w:tcW w:type="dxa" w:w="33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Rompe la forma tradicional de trabajar.</w:t>
            </w:r>
          </w:p>
        </w:tc>
        <w:tc>
          <w:tcPr>
            <w:tcW w:type="dxa" w:w="34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El nombre mal escrito. El filo al nombrar lo que otros suavizan.</w:t>
            </w:r>
          </w:p>
        </w:tc>
      </w:tr>
    </w:tbl>
    <w:p>
      <w:pPr>
        <w:spacing w:after="160"/>
      </w:pPr>
    </w:p>
    <w:p>
      <w:pPr>
        <w:spacing w:after="180" w:line="300"/>
        <w:jc w:val="left"/>
      </w:pPr>
      <w:r>
        <w:rPr>
          <w:rFonts w:ascii="Inter" w:cs="Inter" w:eastAsia="Inter" w:hAnsi="Inter"/>
          <w:b w:val="false"/>
          <w:bCs w:val="false"/>
          <w:i w:val="false"/>
          <w:iCs w:val="false"/>
          <w:color w:val="0B0C0F"/>
          <w:sz w:val="21"/>
          <w:szCs w:val="21"/>
        </w:rPr>
        <w:t xml:space="preserve">Regla de conflicto: cuando la ambición del Mago choca con la evidencia del Sabio, gana el Sabio. Prometer de más es el único error que esta marca no puede permitirse, porque vende transformación a quien ya ha sido decepcionado por la promesa de la IA.</w:t>
      </w:r>
    </w:p>
    <w:p>
      <w:pPr>
        <w:spacing w:after="120" w:before="320"/>
      </w:pPr>
      <w:r>
        <w:rPr>
          <w:rFonts w:ascii="Inter" w:cs="Inter" w:eastAsia="Inter" w:hAnsi="Inter"/>
          <w:b/>
          <w:bCs/>
          <w:color w:val="0B0C0F"/>
          <w:sz w:val="25"/>
          <w:szCs w:val="25"/>
        </w:rPr>
        <w:t xml:space="preserve">Valores</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Curiosidad radical — nunca dejamos de aprender.</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Honestidad intelectual — los datos están por encima del ego. Si las cifras nos contradicen, estábamos equivocados.</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Excelencia obsesiva — si algo puede hacerse mejor, se rehace.</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Simplicidad — la complejidad es un fallo de diseño.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Evolución constante — nada está terminado.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Libertad — las herramientas deben liberar tiempo, no consumirlo.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Impacto — todo debe producir un cambio real.</w:t>
      </w:r>
    </w:p>
    <w:p>
      <w:r>
        <w:br w:type="page"/>
      </w:r>
    </w:p>
    <w:p>
      <w:pPr>
        <w:pBdr>
          <w:bottom w:val="single" w:color="6C4CFF" w:sz="10" w:space="6"/>
        </w:pBdr>
        <w:spacing w:after="60" w:before="480"/>
      </w:pPr>
      <w:r>
        <w:rPr>
          <w:rFonts w:ascii="Consolas" w:cs="Consolas" w:eastAsia="Consolas" w:hAnsi="Consolas"/>
          <w:b/>
          <w:bCs/>
          <w:color w:val="6C4CFF"/>
          <w:spacing w:val="20"/>
          <w:sz w:val="17"/>
          <w:szCs w:val="17"/>
        </w:rPr>
        <w:t xml:space="preserve">PARTE II</w:t>
      </w:r>
    </w:p>
    <w:p>
      <w:pPr>
        <w:spacing w:after="200" w:before="0"/>
      </w:pPr>
      <w:r>
        <w:rPr>
          <w:rFonts w:ascii="Inter" w:cs="Inter" w:eastAsia="Inter" w:hAnsi="Inter"/>
          <w:b/>
          <w:bCs/>
          <w:color w:val="0B0C0F"/>
          <w:sz w:val="34"/>
          <w:szCs w:val="34"/>
        </w:rPr>
        <w:t xml:space="preserve">02 Sistema verbal</w:t>
      </w:r>
    </w:p>
    <w:p>
      <w:pPr>
        <w:spacing w:after="220" w:line="300"/>
      </w:pPr>
      <w:r>
        <w:rPr>
          <w:rFonts w:ascii="Inter" w:cs="Inter" w:eastAsia="Inter" w:hAnsi="Inter"/>
          <w:i/>
          <w:iCs/>
          <w:color w:val="6B6B6B"/>
          <w:sz w:val="21"/>
          <w:szCs w:val="21"/>
        </w:rPr>
        <w:t xml:space="preserve">A quien le hablamos ya ha oído todas las promesas sobre inteligencia artificial. Nuestra ventaja no es entusiasmo: es precisión.</w:t>
      </w:r>
    </w:p>
    <w:p>
      <w:pPr>
        <w:spacing w:after="120" w:before="320"/>
      </w:pPr>
      <w:r>
        <w:rPr>
          <w:rFonts w:ascii="Inter" w:cs="Inter" w:eastAsia="Inter" w:hAnsi="Inter"/>
          <w:b/>
          <w:bCs/>
          <w:color w:val="0B0C0F"/>
          <w:sz w:val="25"/>
          <w:szCs w:val="25"/>
        </w:rPr>
        <w:t xml:space="preserve">A quién hablamos</w:t>
      </w:r>
    </w:p>
    <w:p>
      <w:pPr>
        <w:spacing w:after="180" w:line="300"/>
        <w:jc w:val="left"/>
      </w:pPr>
      <w:r>
        <w:rPr>
          <w:rFonts w:ascii="Inter" w:cs="Inter" w:eastAsia="Inter" w:hAnsi="Inter"/>
          <w:b w:val="false"/>
          <w:bCs w:val="false"/>
          <w:i w:val="false"/>
          <w:iCs w:val="false"/>
          <w:color w:val="0B0C0F"/>
          <w:sz w:val="21"/>
          <w:szCs w:val="21"/>
        </w:rPr>
        <w:t xml:space="preserve">Al CEO o propietario de una empresa de menos de 50 empleados y menos de 40 millones de facturación. Cualquier industria. No es técnico. No tiene tiempo. Ha visto suficiente ruido sobre IA como para desconfiar por defecto, y probablemente ya ha probado alguna herramienta que no cambió nada.</w:t>
      </w:r>
    </w:p>
    <w:p>
      <w:pPr>
        <w:spacing w:after="180" w:line="300"/>
        <w:jc w:val="left"/>
      </w:pPr>
      <w:r>
        <w:rPr>
          <w:rFonts w:ascii="Inter" w:cs="Inter" w:eastAsia="Inter" w:hAnsi="Inter"/>
          <w:b w:val="false"/>
          <w:bCs w:val="false"/>
          <w:i w:val="false"/>
          <w:iCs w:val="false"/>
          <w:color w:val="0B0C0F"/>
          <w:sz w:val="21"/>
          <w:szCs w:val="21"/>
        </w:rPr>
        <w:t xml:space="preserve">Eso define el registro: hablamos como quien ya ha hecho el trabajo, no como quien intenta vender la idea de hacerlo.</w:t>
      </w:r>
    </w:p>
    <w:p>
      <w:pPr>
        <w:spacing w:after="120" w:before="320"/>
      </w:pPr>
      <w:r>
        <w:rPr>
          <w:rFonts w:ascii="Inter" w:cs="Inter" w:eastAsia="Inter" w:hAnsi="Inter"/>
          <w:b/>
          <w:bCs/>
          <w:color w:val="0B0C0F"/>
          <w:sz w:val="25"/>
          <w:szCs w:val="25"/>
        </w:rPr>
        <w:t xml:space="preserve">Los cinco rasgos</w:t>
      </w:r>
    </w:p>
    <w:p>
      <w:pPr>
        <w:spacing w:after="220" w:line="300"/>
      </w:pPr>
      <w:r>
        <w:rPr>
          <w:rFonts w:ascii="Inter" w:cs="Inter" w:eastAsia="Inter" w:hAnsi="Inter"/>
          <w:i/>
          <w:iCs/>
          <w:color w:val="6B6B6B"/>
          <w:sz w:val="21"/>
          <w:szCs w:val="21"/>
        </w:rPr>
        <w:t xml:space="preserve">La voz tiene una contrapartida tipográfica: monoespaciado para lo que la marca firma, sans para lo que la marca explica.</w:t>
      </w:r>
    </w:p>
    <w:p>
      <w:pPr>
        <w:spacing w:after="100" w:before="240"/>
      </w:pPr>
      <w:r>
        <w:rPr>
          <w:rFonts w:ascii="Inter" w:cs="Inter" w:eastAsia="Inter" w:hAnsi="Inter"/>
          <w:b/>
          <w:bCs/>
          <w:color w:val="0B0C0F"/>
          <w:sz w:val="21"/>
          <w:szCs w:val="21"/>
        </w:rPr>
        <w:t xml:space="preserve">1. Claridad brutal</w:t>
      </w:r>
    </w:p>
    <w:p>
      <w:pPr>
        <w:spacing w:after="180" w:line="300"/>
        <w:jc w:val="left"/>
      </w:pPr>
      <w:r>
        <w:rPr>
          <w:rFonts w:ascii="Inter" w:cs="Inter" w:eastAsia="Inter" w:hAnsi="Inter"/>
          <w:b w:val="false"/>
          <w:bCs w:val="false"/>
          <w:i w:val="false"/>
          <w:iCs w:val="false"/>
          <w:color w:val="0B0C0F"/>
          <w:sz w:val="21"/>
          <w:szCs w:val="21"/>
        </w:rPr>
        <w:t xml:space="preserve">Una frase, una idea. Si una frase necesita releerse, está mal escrita. Preferimos la palabra corta y concreta a la abstracta y prestigiosa.</w:t>
      </w:r>
    </w:p>
    <w:p>
      <w:pPr>
        <w:spacing w:after="100" w:before="240"/>
      </w:pPr>
      <w:r>
        <w:rPr>
          <w:rFonts w:ascii="Inter" w:cs="Inter" w:eastAsia="Inter" w:hAnsi="Inter"/>
          <w:b/>
          <w:bCs/>
          <w:color w:val="0B0C0F"/>
          <w:sz w:val="21"/>
          <w:szCs w:val="21"/>
        </w:rPr>
        <w:t xml:space="preserve">2. Autoridad con evidencia</w:t>
      </w:r>
    </w:p>
    <w:p>
      <w:pPr>
        <w:spacing w:after="180" w:line="300"/>
        <w:jc w:val="left"/>
      </w:pPr>
      <w:r>
        <w:rPr>
          <w:rFonts w:ascii="Inter" w:cs="Inter" w:eastAsia="Inter" w:hAnsi="Inter"/>
          <w:b w:val="false"/>
          <w:bCs w:val="false"/>
          <w:i w:val="false"/>
          <w:iCs w:val="false"/>
          <w:color w:val="0B0C0F"/>
          <w:sz w:val="21"/>
          <w:szCs w:val="21"/>
        </w:rPr>
        <w:t xml:space="preserve">Afirmamos con datos y citamos la fuente en la propia página. Cuando no tenemos el dato, lo decimos en vez de rellenarlo con adjetivos.</w:t>
      </w:r>
    </w:p>
    <w:p>
      <w:pPr>
        <w:spacing w:after="100" w:before="240"/>
      </w:pPr>
      <w:r>
        <w:rPr>
          <w:rFonts w:ascii="Inter" w:cs="Inter" w:eastAsia="Inter" w:hAnsi="Inter"/>
          <w:b/>
          <w:bCs/>
          <w:color w:val="0B0C0F"/>
          <w:sz w:val="21"/>
          <w:szCs w:val="21"/>
        </w:rPr>
        <w:t xml:space="preserve">3. Ambición sin arrogancia</w:t>
      </w:r>
    </w:p>
    <w:p>
      <w:pPr>
        <w:spacing w:after="180" w:line="300"/>
        <w:jc w:val="left"/>
      </w:pPr>
      <w:r>
        <w:rPr>
          <w:rFonts w:ascii="Inter" w:cs="Inter" w:eastAsia="Inter" w:hAnsi="Inter"/>
          <w:b w:val="false"/>
          <w:bCs w:val="false"/>
          <w:i w:val="false"/>
          <w:iCs w:val="false"/>
          <w:color w:val="0B0C0F"/>
          <w:sz w:val="21"/>
          <w:szCs w:val="21"/>
        </w:rPr>
        <w:t xml:space="preserve">Prometemos cambio de escala, no superioridad moral. La ambición está en lo que construimos, no en cómo hablamos de nosotros.</w:t>
      </w:r>
    </w:p>
    <w:p>
      <w:pPr>
        <w:spacing w:after="100" w:before="240"/>
      </w:pPr>
      <w:r>
        <w:rPr>
          <w:rFonts w:ascii="Inter" w:cs="Inter" w:eastAsia="Inter" w:hAnsi="Inter"/>
          <w:b/>
          <w:bCs/>
          <w:color w:val="0B0C0F"/>
          <w:sz w:val="21"/>
          <w:szCs w:val="21"/>
        </w:rPr>
        <w:t xml:space="preserve">4. Filo rebelde</w:t>
      </w:r>
    </w:p>
    <w:p>
      <w:pPr>
        <w:spacing w:after="180" w:line="300"/>
        <w:jc w:val="left"/>
      </w:pPr>
      <w:r>
        <w:rPr>
          <w:rFonts w:ascii="Inter" w:cs="Inter" w:eastAsia="Inter" w:hAnsi="Inter"/>
          <w:b w:val="false"/>
          <w:bCs w:val="false"/>
          <w:i w:val="false"/>
          <w:iCs w:val="false"/>
          <w:color w:val="0B0C0F"/>
          <w:sz w:val="21"/>
          <w:szCs w:val="21"/>
        </w:rPr>
        <w:t xml:space="preserve">Nombramos lo que el sector suaviza —incluido el desplazamiento de empleo que la IA provoca. No convertimos el filo en cinismo ni en ataque a competidores.</w:t>
      </w:r>
    </w:p>
    <w:p>
      <w:pPr>
        <w:spacing w:after="100" w:before="240"/>
      </w:pPr>
      <w:r>
        <w:rPr>
          <w:rFonts w:ascii="Inter" w:cs="Inter" w:eastAsia="Inter" w:hAnsi="Inter"/>
          <w:b/>
          <w:bCs/>
          <w:color w:val="0B0C0F"/>
          <w:sz w:val="21"/>
          <w:szCs w:val="21"/>
        </w:rPr>
        <w:t xml:space="preserve">5. Economía de palabras</w:t>
      </w:r>
    </w:p>
    <w:p>
      <w:pPr>
        <w:spacing w:after="180" w:line="300"/>
        <w:jc w:val="left"/>
      </w:pPr>
      <w:r>
        <w:rPr>
          <w:rFonts w:ascii="Inter" w:cs="Inter" w:eastAsia="Inter" w:hAnsi="Inter"/>
          <w:b w:val="false"/>
          <w:bCs w:val="false"/>
          <w:i w:val="false"/>
          <w:iCs w:val="false"/>
          <w:color w:val="0B0C0F"/>
          <w:sz w:val="21"/>
          <w:szCs w:val="21"/>
        </w:rPr>
        <w:t xml:space="preserve">Si se puede quitar una palabra sin perder sentido, sobraba. Este documento se somete a su propia regla.</w:t>
      </w:r>
    </w:p>
    <w:p>
      <w:r>
        <w:br w:type="page"/>
      </w:r>
    </w:p>
    <w:p>
      <w:pPr>
        <w:spacing w:after="120" w:before="320"/>
      </w:pPr>
      <w:r>
        <w:rPr>
          <w:rFonts w:ascii="Inter" w:cs="Inter" w:eastAsia="Inter" w:hAnsi="Inter"/>
          <w:b/>
          <w:bCs/>
          <w:color w:val="0B0C0F"/>
          <w:sz w:val="25"/>
          <w:szCs w:val="25"/>
        </w:rPr>
        <w:t xml:space="preserve">Do's y Don'ts</w:t>
      </w:r>
    </w:p>
    <w:p>
      <w:pPr>
        <w:spacing w:after="220" w:line="300"/>
      </w:pPr>
      <w:r>
        <w:rPr>
          <w:rFonts w:ascii="Inter" w:cs="Inter" w:eastAsia="Inter" w:hAnsi="Inter"/>
          <w:i/>
          <w:iCs/>
          <w:color w:val="6B6B6B"/>
          <w:sz w:val="21"/>
          <w:szCs w:val="21"/>
        </w:rPr>
        <w:t xml:space="preserve">Cada rasgo, con su ejemplo. Así se audita cualquier entregable antes de salir.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50"/>
      </w:tblGrid>
      <w:tr>
        <w:trPr>
          <w:tblHeader/>
        </w:trPr>
        <w:tc>
          <w:tcPr>
            <w:tcW w:type="dxa" w:w="22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Rasgo</w:t>
            </w:r>
          </w:p>
        </w:tc>
        <w:tc>
          <w:tcPr>
            <w:tcW w:type="dxa" w:w="37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Así hablamos</w:t>
            </w:r>
          </w:p>
        </w:tc>
        <w:tc>
          <w:tcPr>
            <w:tcW w:type="dxa" w:w="345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Así no</w:t>
            </w:r>
          </w:p>
        </w:tc>
      </w:tr>
      <w:tr>
        <w:tc>
          <w:tcPr>
            <w:tcW w:type="dxa" w:w="22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Claridad brutal</w:t>
            </w:r>
          </w:p>
        </w:tc>
        <w:tc>
          <w:tcPr>
            <w:tcW w:type="dxa" w:w="37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«Diseñamos el organigrama de tus agentes de IA.»</w:t>
            </w:r>
          </w:p>
        </w:tc>
        <w:tc>
          <w:tcPr>
            <w:tcW w:type="dxa" w:w="34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«Implementamos soluciones de IA de vanguardia para optimizar sinergias operativas.»</w:t>
            </w:r>
          </w:p>
        </w:tc>
      </w:tr>
      <w:tr>
        <w:tc>
          <w:tcPr>
            <w:tcW w:type="dxa" w:w="22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Autoridad con evidencia</w:t>
            </w:r>
          </w:p>
        </w:tc>
        <w:tc>
          <w:tcPr>
            <w:tcW w:type="dxa" w:w="37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«En los primeros 90 días medimos qué decisiones puede tomar un agente sin supervisión. Ese mapa es la base de todo lo que construimos después.»</w:t>
            </w:r>
          </w:p>
        </w:tc>
        <w:tc>
          <w:tcPr>
            <w:tcW w:type="dxa" w:w="34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«La IA lo va a cambiar todo, confía en nosotros.»</w:t>
            </w:r>
          </w:p>
        </w:tc>
      </w:tr>
      <w:tr>
        <w:tc>
          <w:tcPr>
            <w:tcW w:type="dxa" w:w="22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Ambición sin arrogancia</w:t>
            </w:r>
          </w:p>
        </w:tc>
        <w:tc>
          <w:tcPr>
            <w:tcW w:type="dxa" w:w="37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«Tu empresa puede operar con la estructura de decisión de una compañía diez veces mayor. Así se construye.»</w:t>
            </w:r>
          </w:p>
        </w:tc>
        <w:tc>
          <w:tcPr>
            <w:tcW w:type="dxa" w:w="34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«Estaremos encantados de acompañarte en tu viaje de transformación digital.»</w:t>
            </w:r>
          </w:p>
        </w:tc>
      </w:tr>
      <w:tr>
        <w:tc>
          <w:tcPr>
            <w:tcW w:type="dxa" w:w="22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Filo rebelde</w:t>
            </w:r>
          </w:p>
        </w:tc>
        <w:tc>
          <w:tcPr>
            <w:tcW w:type="dxa" w:w="37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«La mayoría de proyectos de IA fracasan porque se venden como herramienta y se necesitan como estructura.»</w:t>
            </w:r>
          </w:p>
        </w:tc>
        <w:tc>
          <w:tcPr>
            <w:tcW w:type="dxa" w:w="34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«Ofrecemos una amplia gama de servicios de consultoría adaptados a sus necesidades.»</w:t>
            </w:r>
          </w:p>
        </w:tc>
      </w:tr>
      <w:tr>
        <w:tc>
          <w:tcPr>
            <w:tcW w:type="dxa" w:w="22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Economía de palabras</w:t>
            </w:r>
          </w:p>
        </w:tc>
        <w:tc>
          <w:tcPr>
            <w:tcW w:type="dxa" w:w="37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«La complejidad es un fallo de diseño. Nosotros diseñamos simple.»</w:t>
            </w:r>
          </w:p>
        </w:tc>
        <w:tc>
          <w:tcPr>
            <w:tcW w:type="dxa" w:w="34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«Hasta un 90% de ahorro» (sin fuente, sin contexto, sin verdad).</w:t>
            </w:r>
          </w:p>
        </w:tc>
      </w:tr>
    </w:tbl>
    <w:p>
      <w:pPr>
        <w:spacing w:after="140"/>
      </w:pPr>
    </w:p>
    <w:p>
      <w:pPr>
        <w:spacing w:after="260"/>
      </w:pPr>
      <w:r>
        <w:rPr>
          <w:rFonts w:ascii="Inter" w:cs="Inter" w:eastAsia="Inter" w:hAnsi="Inter"/>
          <w:i/>
          <w:iCs/>
          <w:color w:val="6B6B6B"/>
          <w:sz w:val="18"/>
          <w:szCs w:val="18"/>
        </w:rPr>
        <w:t xml:space="preserve">Ejemplos de «Ambición sin arrogancia» y «Economía de palabras» incorporados desde el borrador de posicionamiento de LAB 03; el resto ya regía en la v1.0 de este documento.</w:t>
      </w:r>
    </w:p>
    <w:p>
      <w:r>
        <w:br w:type="page"/>
      </w:r>
    </w:p>
    <w:p>
      <w:pPr>
        <w:spacing w:after="120" w:before="320"/>
      </w:pPr>
      <w:r>
        <w:rPr>
          <w:rFonts w:ascii="Inter" w:cs="Inter" w:eastAsia="Inter" w:hAnsi="Inter"/>
          <w:b/>
          <w:bCs/>
          <w:color w:val="0B0C0F"/>
          <w:sz w:val="25"/>
          <w:szCs w:val="25"/>
        </w:rPr>
        <w:t xml:space="preserve">Diccionario</w:t>
      </w:r>
    </w:p>
    <w:p>
      <w:pPr>
        <w:spacing w:after="220" w:line="300"/>
      </w:pPr>
      <w:r>
        <w:rPr>
          <w:rFonts w:ascii="Inter" w:cs="Inter" w:eastAsia="Inter" w:hAnsi="Inter"/>
          <w:i/>
          <w:iCs/>
          <w:color w:val="6B6B6B"/>
          <w:sz w:val="21"/>
          <w:szCs w:val="21"/>
        </w:rPr>
        <w:t xml:space="preserve">Palabras propias del sistema. Se usan con este significado exacto o no se usan.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4100"/>
        <w:gridCol w:w="2900"/>
      </w:tblGrid>
      <w:tr>
        <w:trPr>
          <w:tblHeader/>
        </w:trPr>
        <w:tc>
          <w:tcPr>
            <w:tcW w:type="dxa" w:w="235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Término</w:t>
            </w:r>
          </w:p>
        </w:tc>
        <w:tc>
          <w:tcPr>
            <w:tcW w:type="dxa" w:w="41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Significado</w:t>
            </w:r>
          </w:p>
        </w:tc>
        <w:tc>
          <w:tcPr>
            <w:tcW w:type="dxa" w:w="29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No confundir con</w:t>
            </w:r>
          </w:p>
        </w:tc>
      </w:tr>
      <w:tr>
        <w:tc>
          <w:tcPr>
            <w:tcW w:type="dxa" w:w="23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Especialista</w:t>
            </w:r>
          </w:p>
        </w:tc>
        <w:tc>
          <w:tcPr>
            <w:tcW w:type="dxa" w:w="41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Agente de IA con un rol definido, un alcance de decisión y un lugar en la operación del cliente.</w:t>
            </w:r>
          </w:p>
        </w:tc>
        <w:tc>
          <w:tcPr>
            <w:tcW w:type="dxa" w:w="29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«Bot», «asistente», «herramienta»</w:t>
            </w:r>
          </w:p>
        </w:tc>
      </w:tr>
      <w:tr>
        <w:tc>
          <w:tcPr>
            <w:tcW w:type="dxa" w:w="23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Capa agéntica</w:t>
            </w:r>
          </w:p>
        </w:tc>
        <w:tc>
          <w:tcPr>
            <w:tcW w:type="dxa" w:w="41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La estructura paralela completa que diseñamos, no un agente suelto.</w:t>
            </w:r>
          </w:p>
        </w:tc>
        <w:tc>
          <w:tcPr>
            <w:tcW w:type="dxa" w:w="29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«Automatización»</w:t>
            </w:r>
          </w:p>
        </w:tc>
      </w:tr>
      <w:tr>
        <w:tc>
          <w:tcPr>
            <w:tcW w:type="dxa" w:w="23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Segundo organigrama</w:t>
            </w:r>
          </w:p>
        </w:tc>
        <w:tc>
          <w:tcPr>
            <w:tcW w:type="dxa" w:w="41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Metáfora comercial de la capa agéntica. Uso externo.</w:t>
            </w:r>
          </w:p>
        </w:tc>
        <w:tc>
          <w:tcPr>
            <w:tcW w:type="dxa" w:w="29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El organigrama humano, que no tocamos</w:t>
            </w:r>
          </w:p>
        </w:tc>
      </w:tr>
      <w:tr>
        <w:tc>
          <w:tcPr>
            <w:tcW w:type="dxa" w:w="23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Empresa aumentada</w:t>
            </w:r>
          </w:p>
        </w:tc>
        <w:tc>
          <w:tcPr>
            <w:tcW w:type="dxa" w:w="41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Organización donde personas y especialistas trabajan coordinados.</w:t>
            </w:r>
          </w:p>
        </w:tc>
        <w:tc>
          <w:tcPr>
            <w:tcW w:type="dxa" w:w="29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«Empresa automatizada»</w:t>
            </w:r>
          </w:p>
        </w:tc>
      </w:tr>
      <w:tr>
        <w:tc>
          <w:tcPr>
            <w:tcW w:type="dxa" w:w="23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Memoria organizativa</w:t>
            </w:r>
          </w:p>
        </w:tc>
        <w:tc>
          <w:tcPr>
            <w:tcW w:type="dxa" w:w="41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Conocimiento que vive en el sistema y sobrevive a las personas.</w:t>
            </w:r>
          </w:p>
        </w:tc>
        <w:tc>
          <w:tcPr>
            <w:tcW w:type="dxa" w:w="29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«Base de datos», «documentación»</w:t>
            </w:r>
          </w:p>
        </w:tc>
      </w:tr>
      <w:tr>
        <w:tc>
          <w:tcPr>
            <w:tcW w:type="dxa" w:w="23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VRUTAL OS</w:t>
            </w:r>
          </w:p>
        </w:tc>
        <w:tc>
          <w:tcPr>
            <w:tcW w:type="dxa" w:w="41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El sistema operativo que instalamos en la empresa cliente.</w:t>
            </w:r>
          </w:p>
        </w:tc>
        <w:tc>
          <w:tcPr>
            <w:tcW w:type="dxa" w:w="29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El sistema documental interno de 16 LABs</w:t>
            </w:r>
          </w:p>
        </w:tc>
      </w:tr>
    </w:tbl>
    <w:p>
      <w:pPr>
        <w:spacing w:after="200"/>
      </w:pPr>
    </w:p>
    <w:p>
      <w:pPr>
        <w:spacing w:after="120" w:before="320"/>
      </w:pPr>
      <w:r>
        <w:rPr>
          <w:rFonts w:ascii="Inter" w:cs="Inter" w:eastAsia="Inter" w:hAnsi="Inter"/>
          <w:b/>
          <w:bCs/>
          <w:color w:val="0B0C0F"/>
          <w:sz w:val="25"/>
          <w:szCs w:val="25"/>
        </w:rPr>
        <w:t xml:space="preserve">Mensajes core</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Las empresas no necesitan más herramientas. Necesitan mejores equipos.</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No implementamos IA. Diseñamos organizaciones inteligentes.</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Construimos departamentos digitales.</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Tu segundo organigrama.</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La IA no sustituirá personas. Sustituirá empresas incapaces de evolucionar.</w:t>
      </w:r>
    </w:p>
    <w:p>
      <w:r>
        <w:br w:type="page"/>
      </w:r>
    </w:p>
    <w:p>
      <w:pPr>
        <w:spacing w:after="120" w:before="320"/>
      </w:pPr>
      <w:r>
        <w:rPr>
          <w:rFonts w:ascii="Inter" w:cs="Inter" w:eastAsia="Inter" w:hAnsi="Inter"/>
          <w:b/>
          <w:bCs/>
          <w:color w:val="0B0C0F"/>
          <w:sz w:val="25"/>
          <w:szCs w:val="25"/>
        </w:rPr>
        <w:t xml:space="preserve">Mensajes: problema y solución</w:t>
      </w:r>
    </w:p>
    <w:p>
      <w:pPr>
        <w:spacing w:after="220" w:line="300"/>
      </w:pPr>
      <w:r>
        <w:rPr>
          <w:rFonts w:ascii="Inter" w:cs="Inter" w:eastAsia="Inter" w:hAnsi="Inter"/>
          <w:i/>
          <w:iCs/>
          <w:color w:val="6B6B6B"/>
          <w:sz w:val="21"/>
          <w:szCs w:val="21"/>
        </w:rPr>
        <w:t xml:space="preserve">Cuatro objeciones habituales del ICP, y la respuesta que ya usamos para cada una.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5000"/>
      </w:tblGrid>
      <w:tr>
        <w:trPr>
          <w:tblHeader/>
        </w:trPr>
        <w:tc>
          <w:tcPr>
            <w:tcW w:type="dxa" w:w="435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El cliente dice…</w:t>
            </w:r>
          </w:p>
        </w:tc>
        <w:tc>
          <w:tcPr>
            <w:tcW w:type="dxa" w:w="50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Vrutal responde</w:t>
            </w:r>
          </w:p>
        </w:tc>
      </w:tr>
      <w:tr>
        <w:tc>
          <w:tcPr>
            <w:tcW w:type="dxa" w:w="43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«Necesito crecer, pero contratar es lento, caro y no escala al ritmo del mercado.»</w:t>
            </w:r>
          </w:p>
        </w:tc>
        <w:tc>
          <w:tcPr>
            <w:tcW w:type="dxa" w:w="50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Diseñamos una estructura de agentes que asume el volumen de trabajo repetitivo y de decisión estructurada, liberando al equipo humano para lo que realmente requiere criterio.</w:t>
            </w:r>
          </w:p>
        </w:tc>
      </w:tr>
      <w:tr>
        <w:tc>
          <w:tcPr>
            <w:tcW w:type="dxa" w:w="43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«He probado herramientas de IA sueltas y no cambian nada de fondo.»</w:t>
            </w:r>
          </w:p>
        </w:tc>
        <w:tc>
          <w:tcPr>
            <w:tcW w:type="dxa" w:w="50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No vendemos herramientas. Diseñamos el organigrama agéntico completo: qué decide cada agente, con qué datos y cómo se coordina con las personas.</w:t>
            </w:r>
          </w:p>
        </w:tc>
      </w:tr>
      <w:tr>
        <w:tc>
          <w:tcPr>
            <w:tcW w:type="dxa" w:w="43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«Mis competidores más grandes se mueven más rápido que yo.»</w:t>
            </w:r>
          </w:p>
        </w:tc>
        <w:tc>
          <w:tcPr>
            <w:tcW w:type="dxa" w:w="50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Una estructura agéntica bien diseñada le da a una empresa de 20 personas la velocidad de decisión de una de 200.</w:t>
            </w:r>
          </w:p>
        </w:tc>
      </w:tr>
      <w:tr>
        <w:tc>
          <w:tcPr>
            <w:tcW w:type="dxa" w:w="43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«No sé por dónde empezar ni en qué confiar entre tanto ruido de IA.»</w:t>
            </w:r>
          </w:p>
        </w:tc>
        <w:tc>
          <w:tcPr>
            <w:tcW w:type="dxa" w:w="50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Aplicamos método antes que moda: mapeamos decisiones, medimos resultados y solo escalamos lo que funciona con evidencia.</w:t>
            </w:r>
          </w:p>
        </w:tc>
      </w:tr>
    </w:tbl>
    <w:p>
      <w:pPr>
        <w:spacing w:after="140"/>
      </w:pPr>
    </w:p>
    <w:p>
      <w:pPr>
        <w:spacing w:after="260"/>
      </w:pPr>
      <w:r>
        <w:rPr>
          <w:rFonts w:ascii="Inter" w:cs="Inter" w:eastAsia="Inter" w:hAnsi="Inter"/>
          <w:i/>
          <w:iCs/>
          <w:color w:val="6B6B6B"/>
          <w:sz w:val="18"/>
          <w:szCs w:val="18"/>
        </w:rPr>
        <w:t xml:space="preserve">Sección nueva en v0.9, incorporada desde el borrador de posicionamiento de LAB 03. Complementa, no sustituye, los Mensajes core anteriores.</w:t>
      </w:r>
    </w:p>
    <w:p>
      <w:pPr>
        <w:spacing w:after="200"/>
      </w:pPr>
    </w:p>
    <w:p>
      <w:pPr>
        <w:spacing w:after="120" w:before="320"/>
      </w:pPr>
      <w:r>
        <w:rPr>
          <w:rFonts w:ascii="Inter" w:cs="Inter" w:eastAsia="Inter" w:hAnsi="Inter"/>
          <w:b/>
          <w:bCs/>
          <w:color w:val="0B0C0F"/>
          <w:sz w:val="25"/>
          <w:szCs w:val="25"/>
        </w:rPr>
        <w:t xml:space="preserve">El nombre</w:t>
      </w:r>
    </w:p>
    <w:p>
      <w:pPr>
        <w:spacing w:after="180" w:line="300"/>
        <w:jc w:val="left"/>
      </w:pPr>
      <w:r>
        <w:rPr>
          <w:rFonts w:ascii="Inter" w:cs="Inter" w:eastAsia="Inter" w:hAnsi="Inter"/>
          <w:b w:val="false"/>
          <w:bCs w:val="false"/>
          <w:i w:val="false"/>
          <w:iCs w:val="false"/>
          <w:color w:val="0B0C0F"/>
          <w:sz w:val="21"/>
          <w:szCs w:val="21"/>
        </w:rPr>
        <w:t xml:space="preserve">«Vrutal» no es una palabra mal escrita. Es una decisión.</w:t>
      </w:r>
    </w:p>
    <w:p>
      <w:pPr>
        <w:spacing w:after="180" w:line="300"/>
        <w:jc w:val="left"/>
      </w:pPr>
      <w:r>
        <w:rPr>
          <w:rFonts w:ascii="Inter" w:cs="Inter" w:eastAsia="Inter" w:hAnsi="Inter"/>
          <w:b w:val="false"/>
          <w:bCs w:val="false"/>
          <w:i w:val="false"/>
          <w:iCs w:val="false"/>
          <w:color w:val="0B0C0F"/>
          <w:sz w:val="21"/>
          <w:szCs w:val="21"/>
        </w:rPr>
        <w:t xml:space="preserve">La falta de ortografía es intencionada: una ruptura visible de la regla, de lo correcto, de lo esperado. Es una analogía directa de lo que ocurre con el trabajo —la irrupción de la inteligencia artificial no está siguiendo las reglas anteriores; está reescribiendo qué significa trabajar y qué significa producir.</w:t>
      </w:r>
    </w:p>
    <w:p>
      <w:pPr>
        <w:spacing w:after="180" w:line="300"/>
        <w:jc w:val="left"/>
      </w:pPr>
      <w:r>
        <w:rPr>
          <w:rFonts w:ascii="Inter" w:cs="Inter" w:eastAsia="Inter" w:hAnsi="Inter"/>
          <w:b w:val="false"/>
          <w:bCs w:val="false"/>
          <w:i w:val="false"/>
          <w:iCs w:val="false"/>
          <w:color w:val="0B0C0F"/>
          <w:sz w:val="21"/>
          <w:szCs w:val="21"/>
        </w:rPr>
        <w:t xml:space="preserve">La palabra significa, a la vez, extraordinario y violento. No suavizamos esa doble cara a propósito. El cambio es genuinamente extraordinario en lo que hace posible y genuinamente violento en lo que desplaza, incluida la pérdida de empleos frente a la automatización. No escondemos esa tensión: le pusimos su nombre a la empresa.</w:t>
      </w:r>
    </w:p>
    <w:p>
      <w:pPr>
        <w:spacing w:after="100" w:before="240"/>
      </w:pPr>
      <w:r>
        <w:rPr>
          <w:rFonts w:ascii="Inter" w:cs="Inter" w:eastAsia="Inter" w:hAnsi="Inter"/>
          <w:b/>
          <w:bCs/>
          <w:color w:val="0B0C0F"/>
          <w:sz w:val="21"/>
          <w:szCs w:val="21"/>
        </w:rPr>
        <w:t xml:space="preserve">Reglas de escritura del nombre</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Se escribe «Vrutal Labs». Nunca «Brutal», nunca «V-rutal», nunca «Vrutal-labs», nunca «VRUTAL LABS» en texto corrido.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En logotipo y titulares de marca puede ir en versales: VRUTAL LABS.</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Jamás se corrige. Si un corrector automático lo cambia, el error es del corrector.</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La explicación del nombre es un activo, no una disculpa. Se cuenta, no se esconde.</w:t>
      </w:r>
    </w:p>
    <w:p>
      <w:pPr>
        <w:spacing w:after="200"/>
      </w:pPr>
    </w:p>
    <w:p>
      <w:pPr>
        <w:spacing w:after="120" w:before="320"/>
      </w:pPr>
      <w:r>
        <w:rPr>
          <w:rFonts w:ascii="Inter" w:cs="Inter" w:eastAsia="Inter" w:hAnsi="Inter"/>
          <w:b/>
          <w:bCs/>
          <w:color w:val="0B0C0F"/>
          <w:sz w:val="25"/>
          <w:szCs w:val="25"/>
        </w:rPr>
        <w:t xml:space="preserve">Llamadas a la acción</w:t>
      </w:r>
    </w:p>
    <w:p>
      <w:pPr>
        <w:spacing w:after="220" w:line="300"/>
      </w:pPr>
      <w:r>
        <w:rPr>
          <w:rFonts w:ascii="Inter" w:cs="Inter" w:eastAsia="Inter" w:hAnsi="Inter"/>
          <w:i/>
          <w:iCs/>
          <w:color w:val="6B6B6B"/>
          <w:sz w:val="21"/>
          <w:szCs w:val="21"/>
        </w:rPr>
        <w:t xml:space="preserve">Una sola acción por página. En fase I, todas conducen a la misma conversación.</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«Hablemos de tu empresa» — principal, en español.</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«Book a meeting» — principal, en inglés.</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«Diseña tu equipo digital» — secundaria, para campañas.</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«Empieza por la auditoría» — cierre de página de solución.</w:t>
      </w:r>
    </w:p>
    <w:p>
      <w:r>
        <w:br w:type="page"/>
      </w:r>
    </w:p>
    <w:p>
      <w:pPr>
        <w:pBdr>
          <w:bottom w:val="single" w:color="6C4CFF" w:sz="10" w:space="6"/>
        </w:pBdr>
        <w:spacing w:after="60" w:before="480"/>
      </w:pPr>
      <w:r>
        <w:rPr>
          <w:rFonts w:ascii="Consolas" w:cs="Consolas" w:eastAsia="Consolas" w:hAnsi="Consolas"/>
          <w:b/>
          <w:bCs/>
          <w:color w:val="6C4CFF"/>
          <w:spacing w:val="20"/>
          <w:sz w:val="17"/>
          <w:szCs w:val="17"/>
        </w:rPr>
        <w:t xml:space="preserve">PARTE III</w:t>
      </w:r>
    </w:p>
    <w:p>
      <w:pPr>
        <w:spacing w:after="200" w:before="0"/>
      </w:pPr>
      <w:r>
        <w:rPr>
          <w:rFonts w:ascii="Inter" w:cs="Inter" w:eastAsia="Inter" w:hAnsi="Inter"/>
          <w:b/>
          <w:bCs/>
          <w:color w:val="0B0C0F"/>
          <w:sz w:val="34"/>
          <w:szCs w:val="34"/>
        </w:rPr>
        <w:t xml:space="preserve">03 Sistema visual</w:t>
      </w:r>
    </w:p>
    <w:p>
      <w:pPr>
        <w:spacing w:after="220" w:line="300"/>
      </w:pPr>
      <w:r>
        <w:rPr>
          <w:rFonts w:ascii="Inter" w:cs="Inter" w:eastAsia="Inter" w:hAnsi="Inter"/>
          <w:i/>
          <w:iCs/>
          <w:color w:val="6B6B6B"/>
          <w:sz w:val="21"/>
          <w:szCs w:val="21"/>
        </w:rPr>
        <w:t xml:space="preserve">Minimalismo, geometría y redes orgánicas. Sin robots, sin cerebros, sin manos estrechándose.</w:t>
      </w:r>
    </w:p>
    <w:p>
      <w:pPr>
        <w:spacing w:after="120" w:before="320"/>
      </w:pPr>
      <w:r>
        <w:rPr>
          <w:rFonts w:ascii="Inter" w:cs="Inter" w:eastAsia="Inter" w:hAnsi="Inter"/>
          <w:b/>
          <w:bCs/>
          <w:color w:val="0B0C0F"/>
          <w:sz w:val="25"/>
          <w:szCs w:val="25"/>
        </w:rPr>
        <w:t xml:space="preserve">El símbolo</w:t>
      </w:r>
    </w:p>
    <w:p>
      <w:pPr>
        <w:spacing w:after="180" w:line="300"/>
        <w:jc w:val="left"/>
      </w:pPr>
      <w:r>
        <w:rPr>
          <w:rFonts w:ascii="Inter" w:cs="Inter" w:eastAsia="Inter" w:hAnsi="Inter"/>
          <w:b w:val="false"/>
          <w:bCs w:val="false"/>
          <w:i w:val="false"/>
          <w:iCs w:val="false"/>
          <w:color w:val="0B0C0F"/>
          <w:sz w:val="21"/>
          <w:szCs w:val="21"/>
        </w:rPr>
        <w:t xml:space="preserve">El signo «&gt;» seguido de un punto que respira. Dos formas, nada más.</w:t>
      </w:r>
    </w:p>
    <w:p>
      <w:pPr>
        <w:spacing w:after="180" w:line="300"/>
        <w:jc w:val="left"/>
      </w:pPr>
      <w:r>
        <w:rPr>
          <w:rFonts w:ascii="Inter" w:cs="Inter" w:eastAsia="Inter" w:hAnsi="Inter"/>
          <w:b w:val="false"/>
          <w:bCs w:val="false"/>
          <w:i w:val="false"/>
          <w:iCs w:val="false"/>
          <w:color w:val="0B0C0F"/>
          <w:sz w:val="21"/>
          <w:szCs w:val="21"/>
        </w:rPr>
        <w:t xml:space="preserve">El «&gt;» tiene doble lectura: símbolo de terminal —el lugar donde se da una instrucción a una máquina— y «lo que viene después». El punto, violeta con núcleo lima, representa un especialista activo: el pulso de un sistema que no deja de procesar. Juntos dicen lo que la empresa hace, antes de leer el nombre.</w:t>
      </w:r>
    </w:p>
    <w:p>
      <w:pPr>
        <w:spacing w:after="100" w:before="240"/>
      </w:pPr>
      <w:r>
        <w:rPr>
          <w:rFonts w:ascii="Inter" w:cs="Inter" w:eastAsia="Inter" w:hAnsi="Inter"/>
          <w:b/>
          <w:bCs/>
          <w:color w:val="0B0C0F"/>
          <w:sz w:val="21"/>
          <w:szCs w:val="21"/>
        </w:rPr>
        <w:t xml:space="preserve">Área de respeto</w:t>
      </w:r>
    </w:p>
    <w:p>
      <w:pPr>
        <w:spacing w:after="180" w:line="300"/>
        <w:jc w:val="left"/>
      </w:pPr>
      <w:r>
        <w:rPr>
          <w:rFonts w:ascii="Inter" w:cs="Inter" w:eastAsia="Inter" w:hAnsi="Inter"/>
          <w:b w:val="false"/>
          <w:bCs w:val="false"/>
          <w:i w:val="false"/>
          <w:iCs w:val="false"/>
          <w:color w:val="0B0C0F"/>
          <w:sz w:val="21"/>
          <w:szCs w:val="21"/>
        </w:rPr>
        <w:t xml:space="preserve">El margen libre alrededor del logotipo equivale a X por cada lado, siendo X el radio del anillo exterior del pulso. Ningún elemento —texto, imagen, borde o margen de página— puede invadir esa zona.</w:t>
      </w:r>
    </w:p>
    <w:p>
      <w:pPr>
        <w:spacing w:after="120" w:before="320"/>
      </w:pPr>
      <w:r>
        <w:rPr>
          <w:rFonts w:ascii="Inter" w:cs="Inter" w:eastAsia="Inter" w:hAnsi="Inter"/>
          <w:b/>
          <w:bCs/>
          <w:color w:val="0B0C0F"/>
          <w:sz w:val="25"/>
          <w:szCs w:val="25"/>
        </w:rPr>
        <w:t xml:space="preserve">Tamaños y simplificación</w:t>
      </w:r>
    </w:p>
    <w:p>
      <w:pPr>
        <w:spacing w:after="180" w:line="300"/>
        <w:jc w:val="left"/>
      </w:pPr>
      <w:r>
        <w:rPr>
          <w:rFonts w:ascii="Inter" w:cs="Inter" w:eastAsia="Inter" w:hAnsi="Inter"/>
          <w:b w:val="false"/>
          <w:bCs w:val="false"/>
          <w:i w:val="false"/>
          <w:iCs w:val="false"/>
          <w:color w:val="0B0C0F"/>
          <w:sz w:val="21"/>
          <w:szCs w:val="21"/>
        </w:rPr>
        <w:t xml:space="preserve">Los anillos concéntricos solo se dibujan por encima de 40 px. Por debajo se emborronan y ensucian la lectura, de modo que la versión simplificada —chevron más punto sólido— es la correcta para favicon, avatares pequeños e iconos de aplicación reducidos. Ambas versiones están entregadas como archivo. No se generan a mano.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50"/>
      </w:tblGrid>
      <w:tr>
        <w:trPr>
          <w:tblHeader/>
        </w:trPr>
        <w:tc>
          <w:tcPr>
            <w:tcW w:type="dxa" w:w="29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Tamaño de uso</w:t>
            </w:r>
          </w:p>
        </w:tc>
        <w:tc>
          <w:tcPr>
            <w:tcW w:type="dxa" w:w="33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Versión</w:t>
            </w:r>
          </w:p>
        </w:tc>
        <w:tc>
          <w:tcPr>
            <w:tcW w:type="dxa" w:w="315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Archivo</w:t>
            </w:r>
          </w:p>
        </w:tc>
      </w:tr>
      <w:tr>
        <w:tc>
          <w:tcPr>
            <w:tcW w:type="dxa" w:w="29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 96 px</w:t>
            </w:r>
          </w:p>
        </w:tc>
        <w:tc>
          <w:tcPr>
            <w:tcW w:type="dxa" w:w="33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Completa, con anillos</w:t>
            </w:r>
          </w:p>
        </w:tc>
        <w:tc>
          <w:tcPr>
            <w:tcW w:type="dxa" w:w="31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vrutal-icon-dark.svg</w:t>
            </w:r>
          </w:p>
        </w:tc>
      </w:tr>
      <w:tr>
        <w:tc>
          <w:tcPr>
            <w:tcW w:type="dxa" w:w="29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40–96 px</w:t>
            </w:r>
          </w:p>
        </w:tc>
        <w:tc>
          <w:tcPr>
            <w:tcW w:type="dxa" w:w="33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Completa, con anillos</w:t>
            </w:r>
          </w:p>
        </w:tc>
        <w:tc>
          <w:tcPr>
            <w:tcW w:type="dxa" w:w="31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vrutal-mark.svg</w:t>
            </w:r>
          </w:p>
        </w:tc>
      </w:tr>
      <w:tr>
        <w:tc>
          <w:tcPr>
            <w:tcW w:type="dxa" w:w="29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24–40 px</w:t>
            </w:r>
          </w:p>
        </w:tc>
        <w:tc>
          <w:tcPr>
            <w:tcW w:type="dxa" w:w="33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Simplificada</w:t>
            </w:r>
          </w:p>
        </w:tc>
        <w:tc>
          <w:tcPr>
            <w:tcW w:type="dxa" w:w="31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vrutal-favicon-simple.svg</w:t>
            </w:r>
          </w:p>
        </w:tc>
      </w:tr>
      <w:tr>
        <w:tc>
          <w:tcPr>
            <w:tcW w:type="dxa" w:w="29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16–24 px</w:t>
            </w:r>
          </w:p>
        </w:tc>
        <w:tc>
          <w:tcPr>
            <w:tcW w:type="dxa" w:w="33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Simplificada</w:t>
            </w:r>
          </w:p>
        </w:tc>
        <w:tc>
          <w:tcPr>
            <w:tcW w:type="dxa" w:w="31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favicon.ico</w:t>
            </w:r>
          </w:p>
        </w:tc>
      </w:tr>
    </w:tbl>
    <w:p>
      <w:pPr>
        <w:spacing w:after="120" w:before="320"/>
      </w:pPr>
      <w:r>
        <w:rPr>
          <w:rFonts w:ascii="Inter" w:cs="Inter" w:eastAsia="Inter" w:hAnsi="Inter"/>
          <w:b/>
          <w:bCs/>
          <w:color w:val="0B0C0F"/>
          <w:sz w:val="25"/>
          <w:szCs w:val="25"/>
        </w:rPr>
        <w:t xml:space="preserve">Usos incorrectos</w:t>
      </w:r>
    </w:p>
    <w:p>
      <w:pPr>
        <w:spacing w:after="180" w:line="300"/>
        <w:jc w:val="left"/>
      </w:pPr>
      <w:r>
        <w:rPr>
          <w:rFonts w:ascii="Inter" w:cs="Inter" w:eastAsia="Inter" w:hAnsi="Inter"/>
          <w:b w:val="false"/>
          <w:bCs w:val="false"/>
          <w:i w:val="false"/>
          <w:iCs w:val="false"/>
          <w:color w:val="0B0C0F"/>
          <w:sz w:val="21"/>
          <w:szCs w:val="21"/>
        </w:rPr>
        <w:t xml:space="preserve">Seis formas de romper la marca. La lista no es exhaustiva y no necesita serlo. El principio que la resume: el símbolo se escala, nunca se interpreta.</w:t>
      </w:r>
    </w:p>
    <w:p>
      <w:r>
        <w:br w:type="page"/>
      </w:r>
    </w:p>
    <w:p>
      <w:pPr>
        <w:spacing w:after="120" w:before="320"/>
      </w:pPr>
      <w:r>
        <w:rPr>
          <w:rFonts w:ascii="Inter" w:cs="Inter" w:eastAsia="Inter" w:hAnsi="Inter"/>
          <w:b/>
          <w:bCs/>
          <w:color w:val="0B0C0F"/>
          <w:sz w:val="25"/>
          <w:szCs w:val="25"/>
        </w:rPr>
        <w:t xml:space="preserve">Color</w:t>
      </w:r>
    </w:p>
    <w:p>
      <w:pPr>
        <w:spacing w:after="220" w:line="300"/>
      </w:pPr>
      <w:r>
        <w:rPr>
          <w:rFonts w:ascii="Inter" w:cs="Inter" w:eastAsia="Inter" w:hAnsi="Inter"/>
          <w:i/>
          <w:iCs/>
          <w:color w:val="6B6B6B"/>
          <w:sz w:val="21"/>
          <w:szCs w:val="21"/>
        </w:rPr>
        <w:t xml:space="preserve">Sistema cromático y proporciones de uso.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650"/>
        <w:gridCol w:w="4300"/>
        <w:gridCol w:w="1050"/>
      </w:tblGrid>
      <w:tr>
        <w:trPr>
          <w:tblHeader/>
        </w:trPr>
        <w:tc>
          <w:tcPr>
            <w:tcW w:type="dxa" w:w="235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Nombre</w:t>
            </w:r>
          </w:p>
        </w:tc>
        <w:tc>
          <w:tcPr>
            <w:tcW w:type="dxa" w:w="165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Hex</w:t>
            </w:r>
          </w:p>
        </w:tc>
        <w:tc>
          <w:tcPr>
            <w:tcW w:type="dxa" w:w="43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Función</w:t>
            </w:r>
          </w:p>
        </w:tc>
        <w:tc>
          <w:tcPr>
            <w:tcW w:type="dxa" w:w="105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Proporción</w:t>
            </w:r>
          </w:p>
        </w:tc>
      </w:tr>
      <w:tr>
        <w:tc>
          <w:tcPr>
            <w:tcW w:type="dxa" w:w="23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Vrutal Black</w:t>
            </w:r>
          </w:p>
        </w:tc>
        <w:tc>
          <w:tcPr>
            <w:tcW w:type="dxa" w:w="16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#0B0C0F</w:t>
            </w:r>
          </w:p>
        </w:tc>
        <w:tc>
          <w:tcPr>
            <w:tcW w:type="dxa" w:w="43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Fondo dominante</w:t>
            </w:r>
          </w:p>
        </w:tc>
        <w:tc>
          <w:tcPr>
            <w:tcW w:type="dxa" w:w="10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~90%</w:t>
            </w:r>
          </w:p>
        </w:tc>
      </w:tr>
      <w:tr>
        <w:tc>
          <w:tcPr>
            <w:tcW w:type="dxa" w:w="23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Señal Violeta</w:t>
            </w:r>
          </w:p>
        </w:tc>
        <w:tc>
          <w:tcPr>
            <w:tcW w:type="dxa" w:w="16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#6C4CFF</w:t>
            </w:r>
          </w:p>
        </w:tc>
        <w:tc>
          <w:tcPr>
            <w:tcW w:type="dxa" w:w="43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Color de marca. Identifica lo agéntico y activo</w:t>
            </w:r>
          </w:p>
        </w:tc>
        <w:tc>
          <w:tcPr>
            <w:tcW w:type="dxa" w:w="10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&lt;20%</w:t>
            </w:r>
          </w:p>
        </w:tc>
      </w:tr>
      <w:tr>
        <w:tc>
          <w:tcPr>
            <w:tcW w:type="dxa" w:w="23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Verde Señal</w:t>
            </w:r>
          </w:p>
        </w:tc>
        <w:tc>
          <w:tcPr>
            <w:tcW w:type="dxa" w:w="16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#C6FF3D</w:t>
            </w:r>
          </w:p>
        </w:tc>
        <w:tc>
          <w:tcPr>
            <w:tcW w:type="dxa" w:w="43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Agente activo. Acento de energía</w:t>
            </w:r>
          </w:p>
        </w:tc>
        <w:tc>
          <w:tcPr>
            <w:tcW w:type="dxa" w:w="10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&lt;5%</w:t>
            </w:r>
          </w:p>
        </w:tc>
      </w:tr>
      <w:tr>
        <w:tc>
          <w:tcPr>
            <w:tcW w:type="dxa" w:w="23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Blanco Hueso</w:t>
            </w:r>
          </w:p>
        </w:tc>
        <w:tc>
          <w:tcPr>
            <w:tcW w:type="dxa" w:w="16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#F7F7F5</w:t>
            </w:r>
          </w:p>
        </w:tc>
        <w:tc>
          <w:tcPr>
            <w:tcW w:type="dxa" w:w="43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Titulares y contraste</w:t>
            </w:r>
          </w:p>
        </w:tc>
        <w:tc>
          <w:tcPr>
            <w:tcW w:type="dxa" w:w="10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w:t>
            </w:r>
          </w:p>
        </w:tc>
      </w:tr>
      <w:tr>
        <w:tc>
          <w:tcPr>
            <w:tcW w:type="dxa" w:w="23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Gris Pizarra</w:t>
            </w:r>
          </w:p>
        </w:tc>
        <w:tc>
          <w:tcPr>
            <w:tcW w:type="dxa" w:w="16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#8A8F98</w:t>
            </w:r>
          </w:p>
        </w:tc>
        <w:tc>
          <w:tcPr>
            <w:tcW w:type="dxa" w:w="43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Texto secundario, metadatos</w:t>
            </w:r>
          </w:p>
        </w:tc>
        <w:tc>
          <w:tcPr>
            <w:tcW w:type="dxa" w:w="10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w:t>
            </w:r>
          </w:p>
        </w:tc>
      </w:tr>
    </w:tbl>
    <w:p>
      <w:pPr>
        <w:spacing w:after="160"/>
      </w:pPr>
    </w:p>
    <w:p>
      <w:pPr>
        <w:spacing w:after="100" w:before="240"/>
      </w:pPr>
      <w:r>
        <w:rPr>
          <w:rFonts w:ascii="Inter" w:cs="Inter" w:eastAsia="Inter" w:hAnsi="Inter"/>
          <w:b/>
          <w:bCs/>
          <w:color w:val="0B0C0F"/>
          <w:sz w:val="21"/>
          <w:szCs w:val="21"/>
        </w:rPr>
        <w:t xml:space="preserve">Reglas de color</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La marca es oscura por defecto. La versión clara existe para papel e impresión, no como alternativa estética.</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El violeta significa siempre lo mismo: agente, sistema, acción. No se usa como color decorativo.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El lima señala actividad. Por encima del 5% de una composición deja de ser señal y pasa a ser ruido.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Sobre papel, el lima #C6FF3D pierde legibilidad. En impresión se sustituye por #8FBF00 o se reserva para masas sólidas, nunca para texto.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No se introducen colores nuevos para gráficos o estados. Si un gráfico necesita más de dos series, se usan opacidades del violeta.</w:t>
      </w:r>
    </w:p>
    <w:p>
      <w:r>
        <w:br w:type="page"/>
      </w:r>
    </w:p>
    <w:p>
      <w:pPr>
        <w:spacing w:after="120" w:before="320"/>
      </w:pPr>
      <w:r>
        <w:rPr>
          <w:rFonts w:ascii="Inter" w:cs="Inter" w:eastAsia="Inter" w:hAnsi="Inter"/>
          <w:b/>
          <w:bCs/>
          <w:color w:val="0B0C0F"/>
          <w:sz w:val="25"/>
          <w:szCs w:val="25"/>
        </w:rPr>
        <w:t xml:space="preserve">Tipografía</w:t>
      </w:r>
    </w:p>
    <w:p>
      <w:pPr>
        <w:spacing w:after="220" w:line="300"/>
      </w:pPr>
      <w:r>
        <w:rPr>
          <w:rFonts w:ascii="Inter" w:cs="Inter" w:eastAsia="Inter" w:hAnsi="Inter"/>
          <w:i/>
          <w:iCs/>
          <w:color w:val="6B6B6B"/>
          <w:sz w:val="21"/>
          <w:szCs w:val="21"/>
        </w:rPr>
        <w:t xml:space="preserve">Dos familias. Una firma, una voz.</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500"/>
        <w:gridCol w:w="2250"/>
      </w:tblGrid>
      <w:tr>
        <w:trPr>
          <w:tblHeader/>
        </w:trPr>
        <w:tc>
          <w:tcPr>
            <w:tcW w:type="dxa" w:w="23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Familia</w:t>
            </w:r>
          </w:p>
        </w:tc>
        <w:tc>
          <w:tcPr>
            <w:tcW w:type="dxa" w:w="33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Uso</w:t>
            </w:r>
          </w:p>
        </w:tc>
        <w:tc>
          <w:tcPr>
            <w:tcW w:type="dxa" w:w="15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Pesos</w:t>
            </w:r>
          </w:p>
        </w:tc>
        <w:tc>
          <w:tcPr>
            <w:tcW w:type="dxa" w:w="225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Regla</w:t>
            </w:r>
          </w:p>
        </w:tc>
      </w:tr>
      <w:tr>
        <w:tc>
          <w:tcPr>
            <w:tcW w:type="dxa" w:w="23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JetBrains Mono</w:t>
            </w:r>
          </w:p>
        </w:tc>
        <w:tc>
          <w:tcPr>
            <w:tcW w:type="dxa" w:w="33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Logotipo, etiquetas de sección, cifras, metadatos, código</w:t>
            </w:r>
          </w:p>
        </w:tc>
        <w:tc>
          <w:tcPr>
            <w:tcW w:type="dxa" w:w="15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700 / 400</w:t>
            </w:r>
          </w:p>
        </w:tc>
        <w:tc>
          <w:tcPr>
            <w:tcW w:type="dxa" w:w="22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Es la firma tipográfica. Nunca para texto largo.</w:t>
            </w:r>
          </w:p>
        </w:tc>
      </w:tr>
      <w:tr>
        <w:tc>
          <w:tcPr>
            <w:tcW w:type="dxa" w:w="23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Inter</w:t>
            </w:r>
          </w:p>
        </w:tc>
        <w:tc>
          <w:tcPr>
            <w:tcW w:type="dxa" w:w="33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Titulares, cuerpo, interfaz, formularios</w:t>
            </w:r>
          </w:p>
        </w:tc>
        <w:tc>
          <w:tcPr>
            <w:tcW w:type="dxa" w:w="15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800 / 600 / 400</w:t>
            </w:r>
          </w:p>
        </w:tc>
        <w:tc>
          <w:tcPr>
            <w:tcW w:type="dxa" w:w="22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Todo lo demás. Nunca firma la marca.</w:t>
            </w:r>
          </w:p>
        </w:tc>
      </w:tr>
    </w:tbl>
    <w:p>
      <w:pPr>
        <w:spacing w:after="160"/>
      </w:pP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Ambas familias se sirven en local, en formato woff2 y con font-display: swap. Nunca desde CDN de terceros: en Europa es un riesgo de cumplimiento, no una preferencia técnica.</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Los subconjuntos deben incluir latino extendido: la marca opera en español, francés y portugués.</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Los titulares escalan con clamp(). Los valores viven en design-tokens.css, no en este documento.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Un solo H1 por página. La jerarquía tipográfica es también estructura semántica.</w:t>
      </w:r>
    </w:p>
    <w:p>
      <w:pPr>
        <w:spacing w:after="260"/>
      </w:pPr>
      <w:r>
        <w:rPr>
          <w:rFonts w:ascii="Inter" w:cs="Inter" w:eastAsia="Inter" w:hAnsi="Inter"/>
          <w:i/>
          <w:iCs/>
          <w:color w:val="6B6B6B"/>
          <w:sz w:val="18"/>
          <w:szCs w:val="18"/>
        </w:rPr>
        <w:t xml:space="preserve">Nota v0.9: un borrador paralelo de LAB 03 proponía una tercera familia para titulares (Neue Montreal, General Sans o Aeonik) y recuperaba Söhne para cuerpo de texto. Ninguna de las dos entra en esta versión: contradice el sistema de dos familias ya cerrado, y Söhne quedó descartado por coste de licencia (véase Registro de cambios).</w:t>
      </w:r>
    </w:p>
    <w:p>
      <w:r>
        <w:br w:type="page"/>
      </w:r>
    </w:p>
    <w:p>
      <w:pPr>
        <w:spacing w:after="120" w:before="320"/>
      </w:pPr>
      <w:r>
        <w:rPr>
          <w:rFonts w:ascii="Inter" w:cs="Inter" w:eastAsia="Inter" w:hAnsi="Inter"/>
          <w:b/>
          <w:bCs/>
          <w:color w:val="0B0C0F"/>
          <w:sz w:val="25"/>
          <w:szCs w:val="25"/>
        </w:rPr>
        <w:t xml:space="preserve">Lenguaje gráfico: la red</w:t>
      </w:r>
    </w:p>
    <w:p>
      <w:pPr>
        <w:spacing w:after="220" w:line="300"/>
      </w:pPr>
      <w:r>
        <w:rPr>
          <w:rFonts w:ascii="Inter" w:cs="Inter" w:eastAsia="Inter" w:hAnsi="Inter"/>
          <w:i/>
          <w:iCs/>
          <w:color w:val="6B6B6B"/>
          <w:sz w:val="21"/>
          <w:szCs w:val="21"/>
        </w:rPr>
        <w:t xml:space="preserve">Personas y especialistas. La conexión entre ambos siempre en violeta.</w:t>
      </w:r>
    </w:p>
    <w:p>
      <w:pPr>
        <w:spacing w:after="180" w:line="300"/>
        <w:jc w:val="left"/>
      </w:pPr>
      <w:r>
        <w:rPr>
          <w:rFonts w:ascii="Inter" w:cs="Inter" w:eastAsia="Inter" w:hAnsi="Inter"/>
          <w:b w:val="false"/>
          <w:bCs w:val="false"/>
          <w:i w:val="false"/>
          <w:iCs w:val="false"/>
          <w:color w:val="0B0C0F"/>
          <w:sz w:val="21"/>
          <w:szCs w:val="21"/>
        </w:rPr>
        <w:t xml:space="preserve">La red es el único sistema ilustrativo de la marca. No es un adorno: es el diagrama de lo que vendemos. Dos poblaciones de nodos conviven —personas y especialistas agénticos— y lo que se destaca visualmente no son los nodos, sino la conexión entre ambos tipos.</w:t>
      </w:r>
    </w:p>
    <w:p>
      <w:pPr>
        <w:spacing w:after="100" w:before="240"/>
      </w:pPr>
      <w:r>
        <w:rPr>
          <w:rFonts w:ascii="Inter" w:cs="Inter" w:eastAsia="Inter" w:hAnsi="Inter"/>
          <w:b/>
          <w:bCs/>
          <w:color w:val="0B0C0F"/>
          <w:sz w:val="21"/>
          <w:szCs w:val="21"/>
        </w:rPr>
        <w:t xml:space="preserve">Reglas del sistema</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La persona es un punto gris claro, pequeño y estable. El especialista es un punto lima con halo violeta, y respira.</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Las conexiones persona–agente se dibujan en violeta y con más presencia. Las conexiones del mismo tipo, en gris tenue. Esa jerarquía es el mensaje.</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La red se mueve despacio. Reacciona al cursor. Nunca compite con el texto que tiene encima.</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Sobre fondo con texto, la red va detrás de un degradado oscuro que garantice contraste AA.</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Con prefers-reduced-motion activo, la red se detiene. El contenido nunca depende del movimiento.</w:t>
      </w:r>
    </w:p>
    <w:p>
      <w:pPr>
        <w:spacing w:after="120" w:before="320"/>
      </w:pPr>
      <w:r>
        <w:rPr>
          <w:rFonts w:ascii="Inter" w:cs="Inter" w:eastAsia="Inter" w:hAnsi="Inter"/>
          <w:b/>
          <w:bCs/>
          <w:color w:val="0B0C0F"/>
          <w:sz w:val="25"/>
          <w:szCs w:val="25"/>
        </w:rPr>
        <w:t xml:space="preserve">Fotografía e imagen</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Arquitectura real: líneas estructurales, planos, naves, puentes. La metáfora literal de construir.</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Monocromo o blanco y negro, con un único acento en violeta. Luz dura, sombras marcadas.</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Los grafos y redes se tratan como diagrama de sistema, nunca como ilustración de ciencia ficción.</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Prohibido: robots humanoides, cerebros luminosos, manos estrechándose, sonrisas a cámara frente a un portátil, código verde cayendo por la pantalla.</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Si no hay una imagen que aporte, la respuesta correcta es espacio en negro. El vacío es parte del sistema.</w:t>
      </w:r>
    </w:p>
    <w:p>
      <w:r>
        <w:br w:type="page"/>
      </w:r>
    </w:p>
    <w:p>
      <w:pPr>
        <w:pBdr>
          <w:bottom w:val="single" w:color="6C4CFF" w:sz="10" w:space="6"/>
        </w:pBdr>
        <w:spacing w:after="60" w:before="480"/>
      </w:pPr>
      <w:r>
        <w:rPr>
          <w:rFonts w:ascii="Consolas" w:cs="Consolas" w:eastAsia="Consolas" w:hAnsi="Consolas"/>
          <w:b/>
          <w:bCs/>
          <w:color w:val="6C4CFF"/>
          <w:spacing w:val="20"/>
          <w:sz w:val="17"/>
          <w:szCs w:val="17"/>
        </w:rPr>
        <w:t xml:space="preserve">PARTE IV</w:t>
      </w:r>
    </w:p>
    <w:p>
      <w:pPr>
        <w:spacing w:after="200" w:before="0"/>
      </w:pPr>
      <w:r>
        <w:rPr>
          <w:rFonts w:ascii="Inter" w:cs="Inter" w:eastAsia="Inter" w:hAnsi="Inter"/>
          <w:b/>
          <w:bCs/>
          <w:color w:val="0B0C0F"/>
          <w:sz w:val="34"/>
          <w:szCs w:val="34"/>
        </w:rPr>
        <w:t xml:space="preserve">04 Aplicaciones</w:t>
      </w:r>
    </w:p>
    <w:p>
      <w:pPr>
        <w:spacing w:after="220" w:line="300"/>
      </w:pPr>
      <w:r>
        <w:rPr>
          <w:rFonts w:ascii="Inter" w:cs="Inter" w:eastAsia="Inter" w:hAnsi="Inter"/>
          <w:i/>
          <w:iCs/>
          <w:color w:val="6B6B6B"/>
          <w:sz w:val="21"/>
          <w:szCs w:val="21"/>
        </w:rPr>
        <w:t xml:space="preserve">El sistema se juzga aplicado, no en abstracto.</w:t>
      </w:r>
    </w:p>
    <w:p>
      <w:pPr>
        <w:spacing w:after="120" w:before="320"/>
      </w:pPr>
      <w:r>
        <w:rPr>
          <w:rFonts w:ascii="Inter" w:cs="Inter" w:eastAsia="Inter" w:hAnsi="Inter"/>
          <w:b/>
          <w:bCs/>
          <w:color w:val="0B0C0F"/>
          <w:sz w:val="25"/>
          <w:szCs w:val="25"/>
        </w:rPr>
        <w:t xml:space="preserve">Identidad principal</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Lockup principal sobre fondo oscuro.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Tarjeta de presentación.</w:t>
      </w:r>
    </w:p>
    <w:p>
      <w:pPr>
        <w:spacing w:after="120" w:before="320"/>
      </w:pPr>
      <w:r>
        <w:rPr>
          <w:rFonts w:ascii="Inter" w:cs="Inter" w:eastAsia="Inter" w:hAnsi="Inter"/>
          <w:b/>
          <w:bCs/>
          <w:color w:val="0B0C0F"/>
          <w:sz w:val="25"/>
          <w:szCs w:val="25"/>
        </w:rPr>
        <w:t xml:space="preserve">Digital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550"/>
        <w:gridCol w:w="2700"/>
      </w:tblGrid>
      <w:tr>
        <w:trPr>
          <w:tblHeader/>
        </w:trPr>
        <w:tc>
          <w:tcPr>
            <w:tcW w:type="dxa" w:w="21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Pieza</w:t>
            </w:r>
          </w:p>
        </w:tc>
        <w:tc>
          <w:tcPr>
            <w:tcW w:type="dxa" w:w="455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Especificación</w:t>
            </w:r>
          </w:p>
        </w:tc>
        <w:tc>
          <w:tcPr>
            <w:tcW w:type="dxa" w:w="27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Archivo maestro</w:t>
            </w:r>
          </w:p>
        </w:tc>
      </w:tr>
      <w:tr>
        <w:tc>
          <w:tcPr>
            <w:tcW w:type="dxa" w:w="21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Favicon</w:t>
            </w:r>
          </w:p>
        </w:tc>
        <w:tc>
          <w:tcPr>
            <w:tcW w:type="dxa" w:w="45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Multi-resolución 16/32/64/256, versión simplificada</w:t>
            </w:r>
          </w:p>
        </w:tc>
        <w:tc>
          <w:tcPr>
            <w:tcW w:type="dxa" w:w="27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favicon.ico</w:t>
            </w:r>
          </w:p>
        </w:tc>
      </w:tr>
      <w:tr>
        <w:tc>
          <w:tcPr>
            <w:tcW w:type="dxa" w:w="21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Icono de app</w:t>
            </w:r>
          </w:p>
        </w:tc>
        <w:tc>
          <w:tcPr>
            <w:tcW w:type="dxa" w:w="45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1024×1024, radio de esquina 20,5%</w:t>
            </w:r>
          </w:p>
        </w:tc>
        <w:tc>
          <w:tcPr>
            <w:tcW w:type="dxa" w:w="27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vrutal-icon-dark.svg</w:t>
            </w:r>
          </w:p>
        </w:tc>
      </w:tr>
      <w:tr>
        <w:tc>
          <w:tcPr>
            <w:tcW w:type="dxa" w:w="21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Avatar social</w:t>
            </w:r>
          </w:p>
        </w:tc>
        <w:tc>
          <w:tcPr>
            <w:tcW w:type="dxa" w:w="45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Circular, símbolo completo centrado</w:t>
            </w:r>
          </w:p>
        </w:tc>
        <w:tc>
          <w:tcPr>
            <w:tcW w:type="dxa" w:w="27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vrutal-avatar.svg</w:t>
            </w:r>
          </w:p>
        </w:tc>
      </w:tr>
      <w:tr>
        <w:tc>
          <w:tcPr>
            <w:tcW w:type="dxa" w:w="21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Banner social</w:t>
            </w:r>
          </w:p>
        </w:tc>
        <w:tc>
          <w:tcPr>
            <w:tcW w:type="dxa" w:w="45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1584×396 (LinkedIn), lockup centrado</w:t>
            </w:r>
          </w:p>
        </w:tc>
        <w:tc>
          <w:tcPr>
            <w:tcW w:type="dxa" w:w="27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vrutal-social-banner.svg</w:t>
            </w:r>
          </w:p>
        </w:tc>
      </w:tr>
      <w:tr>
        <w:tc>
          <w:tcPr>
            <w:tcW w:type="dxa" w:w="21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Cabecera web</w:t>
            </w:r>
          </w:p>
        </w:tc>
        <w:tc>
          <w:tcPr>
            <w:tcW w:type="dxa" w:w="45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Lockup en versión oscura, altura 26 px</w:t>
            </w:r>
          </w:p>
        </w:tc>
        <w:tc>
          <w:tcPr>
            <w:tcW w:type="dxa" w:w="27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vrutal-lockup-dark.svg</w:t>
            </w:r>
          </w:p>
        </w:tc>
      </w:tr>
    </w:tbl>
    <w:p>
      <w:pPr>
        <w:spacing w:after="200"/>
      </w:pPr>
    </w:p>
    <w:p>
      <w:pPr>
        <w:spacing w:after="120" w:before="320"/>
      </w:pPr>
      <w:r>
        <w:rPr>
          <w:rFonts w:ascii="Inter" w:cs="Inter" w:eastAsia="Inter" w:hAnsi="Inter"/>
          <w:b/>
          <w:bCs/>
          <w:color w:val="0B0C0F"/>
          <w:sz w:val="25"/>
          <w:szCs w:val="25"/>
        </w:rPr>
        <w:t xml:space="preserve">Presentaciones y documentos</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Portada siempre en negro con el símbolo arriba a la izquierda y el eslogan bajo una regla violeta.</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Cada sección abre con una etiqueta monoespaciada violeta en versales, seguida del titular en Inter.</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Las cifras se componen en monoespaciada. Toda cifra externa lleva su fuente visible bajo el dato, en gris, sin excepción.</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Los documentos impresos usan la versión clara del logotipo y el lima corregido para papel.</w:t>
      </w:r>
    </w:p>
    <w:p>
      <w:pPr>
        <w:spacing w:after="120" w:before="320"/>
      </w:pPr>
      <w:r>
        <w:rPr>
          <w:rFonts w:ascii="Inter" w:cs="Inter" w:eastAsia="Inter" w:hAnsi="Inter"/>
          <w:b/>
          <w:bCs/>
          <w:color w:val="0B0C0F"/>
          <w:sz w:val="25"/>
          <w:szCs w:val="25"/>
        </w:rPr>
        <w:t xml:space="preserve">Cuándo el sistema no cubre un caso</w:t>
      </w:r>
    </w:p>
    <w:p>
      <w:pPr>
        <w:spacing w:after="180" w:line="300"/>
        <w:jc w:val="left"/>
      </w:pPr>
      <w:r>
        <w:rPr>
          <w:rFonts w:ascii="Inter" w:cs="Inter" w:eastAsia="Inter" w:hAnsi="Inter"/>
          <w:b w:val="false"/>
          <w:bCs w:val="false"/>
          <w:i w:val="false"/>
          <w:iCs w:val="false"/>
          <w:color w:val="0B0C0F"/>
          <w:sz w:val="21"/>
          <w:szCs w:val="21"/>
        </w:rPr>
        <w:t xml:space="preserve">El sistema está diseñado para veinte años, lo que significa que va a encontrarse con soportes que hoy no existen. El procedimiento en ese caso es siempre el mismo y no admite atajos: se resuelve aplicando el principio más cercano, se documenta la decisión con su motivo, y se incorpora en la siguiente versión de este libro. Una decisión no registrada no ha existido.</w:t>
      </w:r>
    </w:p>
    <w:p>
      <w:r>
        <w:br w:type="page"/>
      </w:r>
    </w:p>
    <w:p>
      <w:pPr>
        <w:pBdr>
          <w:bottom w:val="single" w:color="6C4CFF" w:sz="10" w:space="6"/>
        </w:pBdr>
        <w:spacing w:after="60" w:before="480"/>
      </w:pPr>
      <w:r>
        <w:rPr>
          <w:rFonts w:ascii="Consolas" w:cs="Consolas" w:eastAsia="Consolas" w:hAnsi="Consolas"/>
          <w:b/>
          <w:bCs/>
          <w:color w:val="6C4CFF"/>
          <w:spacing w:val="20"/>
          <w:sz w:val="17"/>
          <w:szCs w:val="17"/>
        </w:rPr>
        <w:t xml:space="preserve">PARTE V</w:t>
      </w:r>
    </w:p>
    <w:p>
      <w:pPr>
        <w:spacing w:after="200" w:before="0"/>
      </w:pPr>
      <w:r>
        <w:rPr>
          <w:rFonts w:ascii="Inter" w:cs="Inter" w:eastAsia="Inter" w:hAnsi="Inter"/>
          <w:b/>
          <w:bCs/>
          <w:color w:val="0B0C0F"/>
          <w:sz w:val="34"/>
          <w:szCs w:val="34"/>
        </w:rPr>
        <w:t xml:space="preserve">05 Gobernanza y registro</w:t>
      </w:r>
    </w:p>
    <w:p>
      <w:pPr>
        <w:spacing w:after="120" w:before="320"/>
      </w:pPr>
      <w:r>
        <w:rPr>
          <w:rFonts w:ascii="Inter" w:cs="Inter" w:eastAsia="Inter" w:hAnsi="Inter"/>
          <w:b/>
          <w:bCs/>
          <w:color w:val="0B0C0F"/>
          <w:sz w:val="25"/>
          <w:szCs w:val="25"/>
        </w:rPr>
        <w:t xml:space="preserve">Principios de mantenimiento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Este documento tiene un propietario. Alguien responde por su vigencia y su calidad.</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Nada se sobrescribe en silencio. Cada modificación genera una versión nueva, con fecha y motivo.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El conocimiento pertenece al sistema, no a las personas. Este libro debe seguir siendo utilizable cuando quien lo escribió ya no esté.</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Todo documento del sistema debe poder ser entendido y usado también por un agente, no solo por una persona. Por eso las reglas están escritas como reglas, no como sugerencias.</w:t>
      </w:r>
    </w:p>
    <w:p>
      <w:pPr>
        <w:spacing w:after="120" w:before="320"/>
      </w:pPr>
      <w:r>
        <w:rPr>
          <w:rFonts w:ascii="Inter" w:cs="Inter" w:eastAsia="Inter" w:hAnsi="Inter"/>
          <w:b/>
          <w:bCs/>
          <w:color w:val="0B0C0F"/>
          <w:sz w:val="25"/>
          <w:szCs w:val="25"/>
        </w:rPr>
        <w:t xml:space="preserve">Registro de cambios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000"/>
        <w:gridCol w:w="2150"/>
      </w:tblGrid>
      <w:tr>
        <w:trPr>
          <w:tblHeader/>
        </w:trPr>
        <w:tc>
          <w:tcPr>
            <w:tcW w:type="dxa" w:w="11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Versión</w:t>
            </w:r>
          </w:p>
        </w:tc>
        <w:tc>
          <w:tcPr>
            <w:tcW w:type="dxa" w:w="11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Fecha</w:t>
            </w:r>
          </w:p>
        </w:tc>
        <w:tc>
          <w:tcPr>
            <w:tcW w:type="dxa" w:w="500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Cambio</w:t>
            </w:r>
          </w:p>
        </w:tc>
        <w:tc>
          <w:tcPr>
            <w:tcW w:type="dxa" w:w="2150"/>
            <w:shd w:fill="0B0C0F" w:color="auto" w:val="clear"/>
            <w:tcMar>
              <w:top w:type="dxa" w:w="100"/>
              <w:left w:type="dxa" w:w="120"/>
              <w:bottom w:type="dxa" w:w="100"/>
              <w:right w:type="dxa" w:w="120"/>
            </w:tcMar>
            <w:vAlign w:val="center"/>
          </w:tcPr>
          <w:p>
            <w:r>
              <w:rPr>
                <w:rFonts w:ascii="Inter" w:cs="Inter" w:eastAsia="Inter" w:hAnsi="Inter"/>
                <w:b/>
                <w:bCs/>
                <w:color w:val="FFFFFF"/>
                <w:sz w:val="20"/>
                <w:szCs w:val="20"/>
              </w:rPr>
              <w:t xml:space="preserve">Motivo</w:t>
            </w:r>
          </w:p>
        </w:tc>
      </w:tr>
      <w:tr>
        <w:tc>
          <w:tcPr>
            <w:tcW w:type="dxa" w:w="11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0.1</w:t>
            </w:r>
          </w:p>
        </w:tc>
        <w:tc>
          <w:tcPr>
            <w:tcW w:type="dxa" w:w="11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Jul 2026</w:t>
            </w:r>
          </w:p>
        </w:tc>
        <w:tc>
          <w:tcPr>
            <w:tcW w:type="dxa" w:w="50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Borrador inicial de identidad.</w:t>
            </w:r>
          </w:p>
        </w:tc>
        <w:tc>
          <w:tcPr>
            <w:tcW w:type="dxa" w:w="21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Primera aproximación.</w:t>
            </w:r>
          </w:p>
        </w:tc>
      </w:tr>
      <w:tr>
        <w:tc>
          <w:tcPr>
            <w:tcW w:type="dxa" w:w="11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1.0</w:t>
            </w:r>
          </w:p>
        </w:tc>
        <w:tc>
          <w:tcPr>
            <w:tcW w:type="dxa" w:w="11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Ago 2026</w:t>
            </w:r>
          </w:p>
        </w:tc>
        <w:tc>
          <w:tcPr>
            <w:tcW w:type="dxa" w:w="500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Sistema completo: símbolo «Prompt Vivo», paleta violeta/lima, sistema tipográfico, lenguaje de red, aplicaciones.</w:t>
            </w:r>
          </w:p>
        </w:tc>
        <w:tc>
          <w:tcPr>
            <w:tcW w:type="dxa" w:w="2150"/>
            <w:shd w:fill="F7F7F5"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Cierre de la identidad tras la validación de rutas de logotipo.</w:t>
            </w:r>
          </w:p>
        </w:tc>
      </w:tr>
      <w:tr>
        <w:tc>
          <w:tcPr>
            <w:tcW w:type="dxa" w:w="11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0.9</w:t>
            </w:r>
          </w:p>
        </w:tc>
        <w:tc>
          <w:tcPr>
            <w:tcW w:type="dxa" w:w="11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Sep 2026</w:t>
            </w:r>
          </w:p>
        </w:tc>
        <w:tc>
          <w:tcPr>
            <w:tcW w:type="dxa" w:w="500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Se añaden declaración de posicionamiento, historia de marca, tabla de tono ampliada por rasgo y mensajes de problema/solución, incorporados desde un borrador paralelo de LAB 03. Se corrige la cifra de facturación del ICP (50M€ → 40M€). Se descartan las opciones tipográficas no ratificadas del mismo borrador (Neue Montreal, General Sans, Aeonik, Söhne).</w:t>
            </w:r>
          </w:p>
        </w:tc>
        <w:tc>
          <w:tcPr>
            <w:tcW w:type="dxa" w:w="2150"/>
            <w:shd w:fill="FFFFFF" w:color="auto" w:val="clear"/>
            <w:tcMar>
              <w:top w:type="dxa" w:w="100"/>
              <w:left w:type="dxa" w:w="120"/>
              <w:bottom w:type="dxa" w:w="100"/>
              <w:right w:type="dxa" w:w="120"/>
            </w:tcMar>
            <w:vAlign w:val="center"/>
          </w:tcPr>
          <w:p>
            <w:r>
              <w:rPr>
                <w:rFonts w:ascii="Inter" w:cs="Inter" w:eastAsia="Inter" w:hAnsi="Inter"/>
                <w:b w:val="false"/>
                <w:bCs w:val="false"/>
                <w:color w:val="0B0C0F"/>
                <w:sz w:val="20"/>
                <w:szCs w:val="20"/>
              </w:rPr>
              <w:t xml:space="preserve">El borrador aportaba contenido de valor que no vivía en ningún otro LAB; se incorporó lo estable y se dejó fuera lo que contradecía decisiones ya cerradas. La versión baja de 1.0 a 0.9 por la regla general del sistema: v1.0 se reserva para el nacimiento de Vrutal como empresa (LAB 00, Cap. 6), no para el cierre de un LAB.</w:t>
            </w:r>
          </w:p>
        </w:tc>
      </w:tr>
    </w:tbl>
    <w:p>
      <w:pPr>
        <w:spacing w:after="200"/>
      </w:pPr>
    </w:p>
    <w:p>
      <w:pPr>
        <w:spacing w:after="120" w:before="320"/>
      </w:pPr>
      <w:r>
        <w:rPr>
          <w:rFonts w:ascii="Inter" w:cs="Inter" w:eastAsia="Inter" w:hAnsi="Inter"/>
          <w:b/>
          <w:bCs/>
          <w:color w:val="0B0C0F"/>
          <w:sz w:val="25"/>
          <w:szCs w:val="25"/>
        </w:rPr>
        <w:t xml:space="preserve">Decisión registrada: cambio de paleta</w:t>
      </w:r>
    </w:p>
    <w:p>
      <w:pPr>
        <w:spacing w:after="180" w:line="300"/>
        <w:jc w:val="left"/>
      </w:pPr>
      <w:r>
        <w:rPr>
          <w:rFonts w:ascii="Inter" w:cs="Inter" w:eastAsia="Inter" w:hAnsi="Inter"/>
          <w:b w:val="false"/>
          <w:bCs w:val="false"/>
          <w:i w:val="false"/>
          <w:iCs w:val="false"/>
          <w:color w:val="0B0C0F"/>
          <w:sz w:val="21"/>
          <w:szCs w:val="21"/>
        </w:rPr>
        <w:t xml:space="preserve">El borrador anterior fijaba Action Orange #FF6B00 como color protagonista y el violeta como acento secundario deliberado, para no confundirse con «el violeta genérico del sector IA».</w:t>
      </w:r>
    </w:p>
    <w:p>
      <w:pPr>
        <w:spacing w:after="180" w:line="300"/>
        <w:jc w:val="left"/>
      </w:pPr>
      <w:r>
        <w:rPr>
          <w:rFonts w:ascii="Inter" w:cs="Inter" w:eastAsia="Inter" w:hAnsi="Inter"/>
          <w:b w:val="false"/>
          <w:bCs w:val="false"/>
          <w:i w:val="false"/>
          <w:iCs w:val="false"/>
          <w:color w:val="0B0C0F"/>
          <w:sz w:val="21"/>
          <w:szCs w:val="21"/>
        </w:rPr>
        <w:t xml:space="preserve">Esa decisión queda superada por esta versión.</w:t>
      </w:r>
    </w:p>
    <w:p>
      <w:pPr>
        <w:spacing w:after="100" w:before="240"/>
      </w:pPr>
      <w:r>
        <w:rPr>
          <w:rFonts w:ascii="Inter" w:cs="Inter" w:eastAsia="Inter" w:hAnsi="Inter"/>
          <w:b/>
          <w:bCs/>
          <w:color w:val="0B0C0F"/>
          <w:sz w:val="21"/>
          <w:szCs w:val="21"/>
        </w:rPr>
        <w:t xml:space="preserve">Motivo</w:t>
      </w:r>
    </w:p>
    <w:p>
      <w:pPr>
        <w:spacing w:after="180" w:line="300"/>
        <w:jc w:val="left"/>
      </w:pPr>
      <w:r>
        <w:rPr>
          <w:rFonts w:ascii="Inter" w:cs="Inter" w:eastAsia="Inter" w:hAnsi="Inter"/>
          <w:b w:val="false"/>
          <w:bCs w:val="false"/>
          <w:i w:val="false"/>
          <w:iCs w:val="false"/>
          <w:color w:val="0B0C0F"/>
          <w:sz w:val="21"/>
          <w:szCs w:val="21"/>
        </w:rPr>
        <w:t xml:space="preserve">El argumento original era defensivo: elegir un color por lo que evita, no por lo que significa. El sistema actual asigna al violeta una función semántica —identifica siempre lo agéntico y activo— y esa función es más valiosa que la diferenciación por sí misma. La distinción real frente al sector no la produce el tono, sino la disciplina: base negra dominante, un único acento funcional y un lima de energía por debajo del 5%.</w:t>
      </w:r>
    </w:p>
    <w:p>
      <w:pPr>
        <w:spacing w:after="180" w:line="300"/>
        <w:jc w:val="left"/>
      </w:pPr>
      <w:r>
        <w:rPr>
          <w:rFonts w:ascii="Inter" w:cs="Inter" w:eastAsia="Inter" w:hAnsi="Inter"/>
          <w:b w:val="false"/>
          <w:bCs w:val="false"/>
          <w:i w:val="false"/>
          <w:iCs w:val="false"/>
          <w:color w:val="0B0C0F"/>
          <w:sz w:val="21"/>
          <w:szCs w:val="21"/>
        </w:rPr>
        <w:t xml:space="preserve">Se registra explícitamente porque los principios de Vrutal Labs prohíben la sobrescritura silenciosa. Cualquier material que siga usando naranja como color de marca es anterior a agosto de 2026 y está obsoleto.</w:t>
      </w:r>
    </w:p>
    <w:p>
      <w:pPr>
        <w:spacing w:after="160"/>
      </w:pPr>
    </w:p>
    <w:p>
      <w:pPr>
        <w:spacing w:after="120" w:before="320"/>
      </w:pPr>
      <w:r>
        <w:rPr>
          <w:rFonts w:ascii="Inter" w:cs="Inter" w:eastAsia="Inter" w:hAnsi="Inter"/>
          <w:b/>
          <w:bCs/>
          <w:color w:val="0B0C0F"/>
          <w:sz w:val="25"/>
          <w:szCs w:val="25"/>
        </w:rPr>
        <w:t xml:space="preserve">Decisión registrada: escritura del nombre</w:t>
      </w:r>
    </w:p>
    <w:p>
      <w:pPr>
        <w:spacing w:after="180" w:line="300"/>
        <w:jc w:val="left"/>
      </w:pPr>
      <w:r>
        <w:rPr>
          <w:rFonts w:ascii="Inter" w:cs="Inter" w:eastAsia="Inter" w:hAnsi="Inter"/>
          <w:b w:val="false"/>
          <w:bCs w:val="false"/>
          <w:i w:val="false"/>
          <w:iCs w:val="false"/>
          <w:color w:val="0B0C0F"/>
          <w:sz w:val="21"/>
          <w:szCs w:val="21"/>
        </w:rPr>
        <w:t xml:space="preserve">En una sesión de trabajo posterior a esta versión se propuso, para otro documento del sistema (LAB 01), escribir «Vrutal-labs» con guion. Esta versión confirma que esa forma no sustituye a la ya ratificada: se escribe «Vrutal Labs», con espacio, sin guion, conforme a la sección «El nombre» de la Parte II. El documento que entra en conflicto con esta regla es el que se corrige, no al revés.</w:t>
      </w:r>
    </w:p>
    <w:p>
      <w:pPr>
        <w:spacing w:after="200"/>
      </w:pPr>
    </w:p>
    <w:p>
      <w:pPr>
        <w:spacing w:after="120" w:before="320"/>
      </w:pPr>
      <w:r>
        <w:rPr>
          <w:rFonts w:ascii="Inter" w:cs="Inter" w:eastAsia="Inter" w:hAnsi="Inter"/>
          <w:b/>
          <w:bCs/>
          <w:color w:val="0B0C0F"/>
          <w:sz w:val="25"/>
          <w:szCs w:val="25"/>
        </w:rPr>
        <w:t xml:space="preserve">Puntos abiertos</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Licencia definitiva de JetBrains Mono e Inter para uso comercial y web.</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Versión de marca para vídeo y motion: duración, curva de animación del pulso, cierre de pieza.</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Sistema de plantillas de presentación derivado de estas reglas (LAB 04).</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Aplicación a merchandising y espacio físico, si llega a ser necesario.</w:t>
      </w:r>
    </w:p>
    <w:p>
      <w:pPr>
        <w:spacing w:after="90" w:line="290"/>
        <w:ind w:left="260" w:hanging="260"/>
      </w:pPr>
      <w:r>
        <w:rPr>
          <w:rFonts w:ascii="Inter" w:cs="Inter" w:eastAsia="Inter" w:hAnsi="Inter"/>
          <w:color w:val="0B0C0F"/>
          <w:sz w:val="21"/>
          <w:szCs w:val="21"/>
        </w:rPr>
        <w:t xml:space="preserve">— </w:t>
      </w:r>
      <w:r>
        <w:rPr>
          <w:rFonts w:ascii="Inter" w:cs="Inter" w:eastAsia="Inter" w:hAnsi="Inter"/>
          <w:b w:val="false"/>
          <w:bCs w:val="false"/>
          <w:color w:val="0B0C0F"/>
          <w:sz w:val="21"/>
          <w:szCs w:val="21"/>
        </w:rPr>
        <w:t xml:space="preserve">Traducción del diccionario de marca a inglés, francés y portugués, coordinada con la web.</w:t>
      </w:r>
    </w:p>
    <w:p>
      <w:pPr>
        <w:spacing w:after="260"/>
      </w:pPr>
    </w:p>
    <w:p>
      <w:pPr>
        <w:spacing w:after="180" w:line="300"/>
        <w:jc w:val="center"/>
      </w:pPr>
      <w:r>
        <w:rPr>
          <w:rFonts w:ascii="Inter" w:cs="Inter" w:eastAsia="Inter" w:hAnsi="Inter"/>
          <w:b w:val="false"/>
          <w:bCs w:val="false"/>
          <w:i/>
          <w:iCs/>
          <w:color w:val="6B6B6B"/>
          <w:sz w:val="21"/>
          <w:szCs w:val="21"/>
        </w:rPr>
        <w:t xml:space="preserve">Nada de esto es definitivo, excepto el compromiso de mantenerlo vivo.</w:t>
      </w:r>
    </w:p>
    <w:sectPr>
      <w:headerReference w:type="default" r:id="rId7"/>
      <w:footerReference w:type="default" r:id="rId8"/>
      <w:pgSz w:w="11906" w:h="16838" w:orient="portrait"/>
      <w:pgMar w:top="10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Inter" w:cs="Inter" w:eastAsia="Inter" w:hAnsi="Inter"/>
        <w:i/>
        <w:iCs/>
        <w:color w:val="6B6B6B"/>
        <w:sz w:val="15"/>
        <w:szCs w:val="15"/>
      </w:rPr>
      <w:t xml:space="preserve">Building Intelligent Companies.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4" w:sz="4" w:space="6"/>
      </w:pBdr>
      <w:tabs>
        <w:tab w:val="right" w:pos="9026"/>
      </w:tabs>
      <w:spacing w:after="60"/>
    </w:pPr>
    <w:r>
      <w:rPr>
        <w:rFonts w:ascii="Consolas" w:cs="Consolas" w:eastAsia="Consolas" w:hAnsi="Consolas"/>
        <w:b/>
        <w:bCs/>
        <w:color w:val="0B0C0F"/>
        <w:spacing w:val="20"/>
        <w:sz w:val="15"/>
        <w:szCs w:val="15"/>
      </w:rPr>
      <w:t xml:space="preserve">VRUTAL LABS</w:t>
    </w:r>
    <w:r>
      <w:rPr>
        <w:rFonts w:ascii="Consolas" w:cs="Consolas" w:eastAsia="Consolas" w:hAnsi="Consolas"/>
        <w:color w:val="6B6B6B"/>
        <w:sz w:val="15"/>
        <w:szCs w:val="15"/>
      </w:rPr>
      <w:t xml:space="preserve">	Brand Book · v0.9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2026-09-04T08:14:59.001Z</dcterms:created>
  <dcterms:modified xsi:type="dcterms:W3CDTF">2026-09-04T08:14:59.001Z</dcterms:modified>
</cp:coreProperties>
</file>

<file path=docProps/custom.xml><?xml version="1.0" encoding="utf-8"?>
<Properties xmlns="http://schemas.openxmlformats.org/officeDocument/2006/custom-properties" xmlns:vt="http://schemas.openxmlformats.org/officeDocument/2006/docPropsVTypes"/>
</file>