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619A0" w14:textId="77777777" w:rsidR="0001417E" w:rsidRDefault="00000000">
      <w:pPr>
        <w:spacing w:before="500" w:after="40"/>
        <w:jc w:val="center"/>
      </w:pPr>
      <w:r>
        <w:rPr>
          <w:color w:val="8A8F98"/>
          <w:spacing w:val="20"/>
          <w:sz w:val="20"/>
          <w:szCs w:val="20"/>
        </w:rPr>
        <w:t>VRUTAL OS</w:t>
      </w:r>
    </w:p>
    <w:p w14:paraId="2A81BABC" w14:textId="77777777" w:rsidR="0001417E" w:rsidRDefault="00000000">
      <w:pPr>
        <w:spacing w:after="40"/>
        <w:jc w:val="center"/>
      </w:pPr>
      <w:r>
        <w:rPr>
          <w:b/>
          <w:bCs/>
          <w:sz w:val="40"/>
          <w:szCs w:val="40"/>
        </w:rPr>
        <w:t>LAB 10 · SALES</w:t>
      </w:r>
    </w:p>
    <w:p w14:paraId="4DE58D32" w14:textId="77777777" w:rsidR="0001417E" w:rsidRDefault="00000000">
      <w:pPr>
        <w:spacing w:after="40"/>
        <w:jc w:val="center"/>
      </w:pPr>
      <w:r>
        <w:rPr>
          <w:sz w:val="26"/>
          <w:szCs w:val="26"/>
        </w:rPr>
        <w:t>Del Lead al Contrato</w:t>
      </w:r>
    </w:p>
    <w:p w14:paraId="7A669B44" w14:textId="77777777" w:rsidR="0001417E" w:rsidRDefault="00000000">
      <w:pPr>
        <w:spacing w:after="260"/>
        <w:jc w:val="center"/>
      </w:pPr>
      <w:r>
        <w:rPr>
          <w:i/>
          <w:iCs/>
          <w:color w:val="8A8F98"/>
          <w:sz w:val="20"/>
          <w:szCs w:val="20"/>
        </w:rPr>
        <w:t>Termina en la firma — lo que viene después ya está escrito en LAB 12</w:t>
      </w:r>
    </w:p>
    <w:p w14:paraId="4D5F7351" w14:textId="77777777" w:rsidR="0001417E" w:rsidRDefault="00000000">
      <w:pPr>
        <w:spacing w:after="40"/>
        <w:jc w:val="center"/>
      </w:pPr>
      <w:r>
        <w:rPr>
          <w:b/>
          <w:bCs/>
          <w:color w:val="6C4CFF"/>
          <w:sz w:val="20"/>
          <w:szCs w:val="20"/>
        </w:rPr>
        <w:t xml:space="preserve">Documento vivo · v0.9 — funnel y pricing cerrados; objeciones y descuento por volumen pendientes de datos reales</w:t>
      </w:r>
    </w:p>
    <w:p w14:paraId="61D7CEC1" w14:textId="77777777" w:rsidR="0001417E" w:rsidRPr="00C51EFC" w:rsidRDefault="00000000">
      <w:pPr>
        <w:spacing w:after="500"/>
        <w:jc w:val="center"/>
        <w:rPr>
          <w:lang w:val="en-US"/>
        </w:rPr>
      </w:pPr>
      <w:r>
        <w:rPr>
          <w:i/>
          <w:iCs/>
          <w:sz w:val="20"/>
          <w:szCs w:val="20"/>
          <w:lang w:val="en-US"/>
        </w:rPr>
        <w:t>Building Intelligent Companies.</w:t>
      </w:r>
    </w:p>
    <w:p w14:paraId="2F23A445" w14:textId="77777777" w:rsidR="0001417E" w:rsidRPr="00C51EFC" w:rsidRDefault="00000000">
      <w:pPr>
        <w:rPr>
          <w:lang w:val="en-US"/>
        </w:rPr>
      </w:pPr>
      <w:r>
        <w:rPr>
          <w:lang w:val="en-US"/>
        </w:rPr>
        <w:br w:type="page"/>
      </w:r>
    </w:p>
    <w:p w14:paraId="0561C2F6" w14:textId="77777777" w:rsidR="0001417E" w:rsidRPr="00C51EFC" w:rsidRDefault="00000000">
      <w:pPr>
        <w:pStyle w:val="Heading1"/>
        <w:spacing w:after="260"/>
        <w:rPr>
          <w:lang w:val="en-US"/>
        </w:rPr>
      </w:pPr>
      <w:r>
        <w:rPr>
          <w:sz w:val="28"/>
          <w:szCs w:val="28"/>
          <w:lang w:val="en-US"/>
        </w:rPr>
        <w:lastRenderedPageBreak/>
        <w:t>Índice general</w:t>
      </w:r>
    </w:p>
    <w:p w14:paraId="12810D52" w14:textId="77777777" w:rsidR="0001417E" w:rsidRPr="00C51EFC" w:rsidRDefault="00000000">
      <w:pPr>
        <w:spacing w:before="200" w:after="40"/>
        <w:rPr>
          <w:lang w:val="en-US"/>
        </w:rPr>
      </w:pPr>
      <w:r>
        <w:rPr>
          <w:b/>
          <w:bCs/>
          <w:sz w:val="21"/>
          <w:szCs w:val="21"/>
          <w:lang w:val="en-US"/>
        </w:rPr>
        <w:t>PARTE I — MARCO</w:t>
      </w:r>
    </w:p>
    <w:p w14:paraId="7BE8ADDF" w14:textId="77777777" w:rsidR="0001417E" w:rsidRDefault="00000000">
      <w:pPr>
        <w:spacing w:after="50"/>
        <w:ind w:left="260"/>
      </w:pPr>
      <w:r>
        <w:rPr>
          <w:sz w:val="21"/>
          <w:szCs w:val="21"/>
        </w:rPr>
        <w:t>1. Por qué existe este documento</w:t>
      </w:r>
    </w:p>
    <w:p w14:paraId="28632EDC" w14:textId="77777777" w:rsidR="0001417E" w:rsidRDefault="00000000">
      <w:pPr>
        <w:spacing w:after="50"/>
        <w:ind w:left="260"/>
      </w:pPr>
      <w:r>
        <w:rPr>
          <w:sz w:val="21"/>
          <w:szCs w:val="21"/>
        </w:rPr>
        <w:t>2. El ICP, en operación</w:t>
      </w:r>
    </w:p>
    <w:p w14:paraId="000988AA" w14:textId="77777777" w:rsidR="0001417E" w:rsidRDefault="00000000">
      <w:pPr>
        <w:spacing w:before="200" w:after="40"/>
      </w:pPr>
      <w:r>
        <w:rPr>
          <w:b/>
          <w:bCs/>
          <w:sz w:val="21"/>
          <w:szCs w:val="21"/>
        </w:rPr>
        <w:t>PARTE II — DEL LEAD AL CONTRATO</w:t>
      </w:r>
    </w:p>
    <w:p w14:paraId="08CC93F7" w14:textId="77777777" w:rsidR="0001417E" w:rsidRDefault="00000000">
      <w:pPr>
        <w:spacing w:after="50"/>
        <w:ind w:left="260"/>
      </w:pPr>
      <w:r>
        <w:rPr>
          <w:sz w:val="21"/>
          <w:szCs w:val="21"/>
        </w:rPr>
        <w:t>3. Discovery: la primera conversación</w:t>
      </w:r>
    </w:p>
    <w:p w14:paraId="2B5512AC" w14:textId="77777777" w:rsidR="0001417E" w:rsidRDefault="00000000">
      <w:pPr>
        <w:spacing w:after="50"/>
        <w:ind w:left="260"/>
      </w:pPr>
      <w:r>
        <w:rPr>
          <w:sz w:val="21"/>
          <w:szCs w:val="21"/>
        </w:rPr>
        <w:t>4. La propuesta: qué se enseña, qué no</w:t>
      </w:r>
    </w:p>
    <w:p w14:paraId="79BA0A7F" w14:textId="77777777" w:rsidR="0001417E" w:rsidRDefault="00000000">
      <w:pPr>
        <w:spacing w:after="50"/>
        <w:ind w:left="260"/>
      </w:pPr>
      <w:r>
        <w:rPr>
          <w:sz w:val="21"/>
          <w:szCs w:val="21"/>
        </w:rPr>
        <w:t>5. Objeciones</w:t>
      </w:r>
    </w:p>
    <w:p w14:paraId="713192BC" w14:textId="77777777" w:rsidR="0001417E" w:rsidRDefault="00000000">
      <w:pPr>
        <w:spacing w:after="50"/>
        <w:ind w:left="260"/>
      </w:pPr>
      <w:r>
        <w:rPr>
          <w:sz w:val="21"/>
          <w:szCs w:val="21"/>
        </w:rPr>
        <w:t>6. Demo: qué se muestra y qué no</w:t>
      </w:r>
    </w:p>
    <w:p w14:paraId="15D72605" w14:textId="77777777" w:rsidR="0001417E" w:rsidRDefault="00000000">
      <w:pPr>
        <w:spacing w:before="200" w:after="40"/>
      </w:pPr>
      <w:r>
        <w:rPr>
          <w:b/>
          <w:bCs/>
          <w:sz w:val="21"/>
          <w:szCs w:val="21"/>
        </w:rPr>
        <w:t>PARTE III — PRICING Y CONTRATOS</w:t>
      </w:r>
    </w:p>
    <w:p w14:paraId="79DA3AB2" w14:textId="77777777" w:rsidR="0001417E" w:rsidRDefault="00000000">
      <w:pPr>
        <w:spacing w:after="50"/>
        <w:ind w:left="260"/>
      </w:pPr>
      <w:r>
        <w:rPr>
          <w:sz w:val="21"/>
          <w:szCs w:val="21"/>
        </w:rPr>
        <w:t>7. El modelo de precios: los cinco tiers de LAB 13</w:t>
      </w:r>
    </w:p>
    <w:p w14:paraId="440AB74C" w14:textId="77777777" w:rsidR="0001417E" w:rsidRDefault="00000000">
      <w:pPr>
        <w:spacing w:after="50"/>
        <w:ind w:left="260"/>
      </w:pPr>
      <w:r>
        <w:rPr>
          <w:sz w:val="21"/>
          <w:szCs w:val="21"/>
        </w:rPr>
        <w:t xml:space="preserve">8. El deployment inicial: se cobra la auditoría</w:t>
      </w:r>
    </w:p>
    <w:p w14:paraId="6A26C988" w14:textId="77777777" w:rsidR="0001417E" w:rsidRDefault="00000000">
      <w:pPr>
        <w:spacing w:after="50"/>
        <w:ind w:left="260"/>
      </w:pPr>
      <w:r>
        <w:rPr>
          <w:sz w:val="21"/>
          <w:szCs w:val="21"/>
        </w:rPr>
        <w:t>9. Términos de contrato</w:t>
      </w:r>
    </w:p>
    <w:p w14:paraId="6D0E47F6" w14:textId="77777777" w:rsidR="0001417E" w:rsidRDefault="00000000">
      <w:pPr>
        <w:spacing w:before="200" w:after="40"/>
      </w:pPr>
      <w:r>
        <w:rPr>
          <w:b/>
          <w:bCs/>
          <w:sz w:val="21"/>
          <w:szCs w:val="21"/>
        </w:rPr>
        <w:t>PARTE IV — CÓMO VENDE VRUTAL POR DENTRO</w:t>
      </w:r>
    </w:p>
    <w:p w14:paraId="57EB953D" w14:textId="77777777" w:rsidR="0001417E" w:rsidRDefault="00000000">
      <w:pPr>
        <w:spacing w:after="50"/>
        <w:ind w:left="260"/>
      </w:pPr>
      <w:r>
        <w:rPr>
          <w:sz w:val="21"/>
          <w:szCs w:val="21"/>
        </w:rPr>
        <w:t xml:space="preserve">10. El CRM de Vrutal</w:t>
      </w:r>
    </w:p>
    <w:p w14:paraId="03C91C28" w14:textId="77777777" w:rsidR="0001417E" w:rsidRDefault="00000000">
      <w:pPr>
        <w:spacing w:after="50"/>
        <w:ind w:left="260"/>
      </w:pPr>
      <w:r>
        <w:rPr>
          <w:sz w:val="21"/>
          <w:szCs w:val="21"/>
        </w:rPr>
        <w:t xml:space="preserve">11. Roadmap de este documento</w:t>
      </w:r>
    </w:p>
    <w:p w14:paraId="5549D996" w14:textId="77777777" w:rsidR="0001417E" w:rsidRDefault="00000000">
      <w:r>
        <w:br w:type="page"/>
      </w:r>
    </w:p>
    <w:p w14:paraId="0D2D2C08" w14:textId="77777777" w:rsidR="0001417E" w:rsidRDefault="00000000">
      <w:pPr>
        <w:spacing w:before="200" w:after="40"/>
      </w:pPr>
      <w:r>
        <w:rPr>
          <w:b/>
          <w:bCs/>
          <w:color w:val="6C4CFF"/>
        </w:rPr>
        <w:lastRenderedPageBreak/>
        <w:t>PARTE I</w:t>
      </w:r>
    </w:p>
    <w:p w14:paraId="18FEEEE6" w14:textId="77777777" w:rsidR="0001417E" w:rsidRDefault="00000000">
      <w:pPr>
        <w:pBdr>
          <w:bottom w:val="single" w:sz="10" w:space="8" w:color="6C4CFF"/>
        </w:pBdr>
        <w:spacing w:after="40"/>
      </w:pPr>
      <w:r>
        <w:rPr>
          <w:b/>
          <w:bCs/>
          <w:sz w:val="30"/>
          <w:szCs w:val="30"/>
        </w:rPr>
        <w:t>MARCO</w:t>
      </w:r>
    </w:p>
    <w:p w14:paraId="071FA5AE" w14:textId="77777777" w:rsidR="0001417E" w:rsidRDefault="00000000">
      <w:pPr>
        <w:spacing w:after="280"/>
      </w:pPr>
      <w:r>
        <w:rPr>
          <w:i/>
          <w:iCs/>
          <w:color w:val="8A8F98"/>
          <w:sz w:val="20"/>
          <w:szCs w:val="20"/>
        </w:rPr>
        <w:t>Dónde empieza y dónde termina este documento</w:t>
      </w:r>
    </w:p>
    <w:p w14:paraId="6423B98F" w14:textId="77777777" w:rsidR="0001417E" w:rsidRDefault="00000000">
      <w:pPr>
        <w:pStyle w:val="Heading2"/>
        <w:spacing w:before="340" w:after="160"/>
      </w:pPr>
      <w:r>
        <w:t>Capítulo 1 · Por qué existe este documento</w:t>
      </w:r>
    </w:p>
    <w:p w14:paraId="49928960" w14:textId="77777777" w:rsidR="0001417E" w:rsidRDefault="00000000">
      <w:pPr>
        <w:spacing w:after="200" w:line="300" w:lineRule="auto"/>
      </w:pPr>
      <w:r>
        <w:t xml:space="preserve">El ICP de Vrutal ya está fijado en el Documento Fundacional, y este documento no lo reabre: menos de 50 empleados, menos de 40 millones de euros de facturación, interlocutor CEO o propietario, sin tiempo, escéptico por defecto. El onboarding operativo — de la firma al primer especialista desplegado — ya está fijado en LAB 12, Capítulo 3, y este documento tampoco lo reabre.</w:t>
      </w:r>
    </w:p>
    <w:p w14:paraId="15AD0D55" w14:textId="77777777" w:rsidR="0001417E" w:rsidRDefault="00000000">
      <w:pPr>
        <w:spacing w:after="200" w:line="300" w:lineRule="auto"/>
      </w:pPr>
      <w:r>
        <w:t xml:space="preserve">Lo que LAB 10 fija es lo que ocurre entre esos dos puntos: cómo un lead calificado contra el ICP se convierte en un contrato firmado, y cómo Vrutal gestiona ese proceso por dentro. LAB 10 termina en la firma. LAB 12 empieza ahí.</w:t>
      </w:r>
    </w:p>
    <w:p w14:paraId="2AE5271C" w14:textId="77777777" w:rsidR="0001417E" w:rsidRDefault="00000000">
      <w:pPr>
        <w:pStyle w:val="Heading2"/>
        <w:spacing w:before="340" w:after="160"/>
      </w:pPr>
      <w:r>
        <w:t>Capítulo 2 · El ICP, en operación</w:t>
      </w:r>
    </w:p>
    <w:p w14:paraId="341A1D9C" w14:textId="77777777" w:rsidR="0001417E" w:rsidRDefault="00000000">
      <w:pPr>
        <w:spacing w:after="200" w:line="300" w:lineRule="auto"/>
      </w:pPr>
      <w:r>
        <w:t xml:space="preserve">El ICP fijado en el Documento Fundacional describe quién encaja. Este capítulo fija cómo se comprueba, en la práctica, antes de invertir tiempo de discovery en un lead.</w:t>
      </w:r>
    </w:p>
    <w:p w14:paraId="68EECB9A" w14:textId="77777777" w:rsidR="0001417E" w:rsidRDefault="00000000">
      <w:pPr>
        <w:spacing w:after="200" w:line="300" w:lineRule="auto"/>
      </w:pPr>
      <w:r>
        <w:t>Encaja: empresa de menos de 50 empleados y menos de 40 millones de euros de facturación, con interlocutor CEO o propietario, capaz de nombrar al menos una tarea repetitiva que hoy hace una persona y que no puede justificar como contratación.</w:t>
      </w:r>
    </w:p>
    <w:p w14:paraId="2C05BC4C" w14:textId="77777777" w:rsidR="0001417E" w:rsidRDefault="00000000">
      <w:pPr>
        <w:spacing w:after="200" w:line="300" w:lineRule="auto"/>
      </w:pPr>
      <w:r>
        <w:t xml:space="preserve">No encaja: una empresa que busca «implementar IA» como proyecto de innovación sin un problema operativo concreto detrás — Vrutal no vende IA, diseña equipos digitales, conforme al posicionamiento ya fijado en LAB 03; un interlocutor sin autoridad de decisión y sin acceso directo a quien decide; o una empresa que ya tiene un equipo interno dedicado exactamente al área que se quiere aumentar, donde el problema no es estructural.</w:t>
      </w:r>
    </w:p>
    <w:p w14:paraId="731571EB" w14:textId="77777777" w:rsidR="0001417E" w:rsidRDefault="00000000">
      <w:r>
        <w:br w:type="page"/>
      </w:r>
    </w:p>
    <w:p w14:paraId="18C03B0F" w14:textId="77777777" w:rsidR="0001417E" w:rsidRDefault="00000000">
      <w:pPr>
        <w:spacing w:before="200" w:after="40"/>
      </w:pPr>
      <w:r>
        <w:rPr>
          <w:b/>
          <w:bCs/>
          <w:color w:val="6C4CFF"/>
        </w:rPr>
        <w:lastRenderedPageBreak/>
        <w:t>PARTE II</w:t>
      </w:r>
    </w:p>
    <w:p w14:paraId="21A67D80" w14:textId="77777777" w:rsidR="0001417E" w:rsidRDefault="00000000">
      <w:pPr>
        <w:pBdr>
          <w:bottom w:val="single" w:sz="10" w:space="8" w:color="6C4CFF"/>
        </w:pBdr>
        <w:spacing w:after="40"/>
      </w:pPr>
      <w:r>
        <w:rPr>
          <w:b/>
          <w:bCs/>
          <w:sz w:val="30"/>
          <w:szCs w:val="30"/>
        </w:rPr>
        <w:t>DEL LEAD AL CONTRATO</w:t>
      </w:r>
    </w:p>
    <w:p w14:paraId="0B29632E" w14:textId="77777777" w:rsidR="0001417E" w:rsidRDefault="00000000">
      <w:pPr>
        <w:spacing w:after="280"/>
      </w:pPr>
      <w:r>
        <w:rPr>
          <w:i/>
          <w:iCs/>
          <w:color w:val="8A8F98"/>
          <w:sz w:val="20"/>
          <w:szCs w:val="20"/>
        </w:rPr>
        <w:t xml:space="preserve">El funnel, capítulo a capítulo</w:t>
      </w:r>
    </w:p>
    <w:p w14:paraId="4DCEA0B8" w14:textId="77777777" w:rsidR="0001417E" w:rsidRDefault="00000000">
      <w:pPr>
        <w:pStyle w:val="Heading2"/>
        <w:spacing w:before="340" w:after="160"/>
      </w:pPr>
      <w:r>
        <w:t>Capítulo 3 · Discovery: la primera conversación</w:t>
      </w:r>
    </w:p>
    <w:p w14:paraId="0AF897DA" w14:textId="77777777" w:rsidR="0001417E" w:rsidRDefault="00000000">
      <w:pPr>
        <w:spacing w:after="200" w:line="300" w:lineRule="auto"/>
      </w:pPr>
      <w:r>
        <w:t xml:space="preserve">La conversación de discovery es la primera aplicación del método Audit ya fijado en LAB 15: no vende, pregunta. Su objetivo único es identificar la inercia organizativa más cara del prospecto, conforme al Artículo I de la Constitución — no presentar el catálogo completo de especialistas de LAB 07.</w:t>
      </w:r>
    </w:p>
    <w:p w14:paraId="7DE633F9" w14:textId="77777777" w:rsidR="0001417E" w:rsidRDefault="00000000">
      <w:pPr>
        <w:spacing w:after="200" w:line="300" w:lineRule="auto"/>
      </w:pPr>
      <w:r>
        <w:t xml:space="preserve">Tres preguntas fijas abren cualquier discovery, en este orden: qué tarea repetitiva le quita más tiempo a alguien caro de reemplazar; qué pasaría si esa tarea desapareciera mañana; y qué ha probado ya para resolverlo, y por qué no funcionó.</w:t>
      </w:r>
    </w:p>
    <w:p w14:paraId="0364D6FD" w14:textId="77777777" w:rsidR="0001417E" w:rsidRDefault="00000000">
      <w:pPr>
        <w:spacing w:after="240" w:line="290" w:lineRule="auto"/>
      </w:pPr>
      <w:r>
        <w:rPr>
          <w:i/>
          <w:iCs/>
          <w:color w:val="8A8F98"/>
          <w:sz w:val="20"/>
          <w:szCs w:val="20"/>
        </w:rPr>
        <w:t xml:space="preserve">La tercera pregunta es la que más se salta y la más importante: revela si el prospecto ya gastó presupuesto en una solución fallida, lo que cambia por completo cómo se presenta Vrutal después.</w:t>
      </w:r>
    </w:p>
    <w:p w14:paraId="4E986161" w14:textId="77777777" w:rsidR="0001417E" w:rsidRDefault="00000000">
      <w:pPr>
        <w:pStyle w:val="Heading2"/>
        <w:spacing w:before="340" w:after="160"/>
      </w:pPr>
      <w:r>
        <w:t>Capítulo 4 · La propuesta: qué se enseña, qué no</w:t>
      </w:r>
    </w:p>
    <w:p w14:paraId="46DCAC4A" w14:textId="77777777" w:rsidR="0001417E" w:rsidRDefault="00000000">
      <w:pPr>
        <w:spacing w:after="200" w:line="300" w:lineRule="auto"/>
      </w:pPr>
      <w:r>
        <w:t xml:space="preserve">La propuesta de Vrutal nunca abre con el catálogo completo de especialistas — abre con el especialista único que ataca la inercia identificada en el discovery, exactamente como ya fija LAB 12, Capítulo 3, para el primer despliegue real. Enseñar más de un especialista en la primera propuesta no es generosidad comercial: es diluir el argumento con opciones que el prospecto todavía no ha pedido.</w:t>
      </w:r>
    </w:p>
    <w:p w14:paraId="1ACA7BDC" w14:textId="77777777" w:rsidR="0001417E" w:rsidRDefault="00000000">
      <w:pPr>
        <w:spacing w:after="200" w:line="300" w:lineRule="auto"/>
      </w:pPr>
      <w:r>
        <w:t xml:space="preserve">La propuesta responde a tres preguntas, en este orden, y no a más: qué deja de hacer una persona cuando este especialista opera; cuánto cuesta al mes, como coste fijo, comparado explícitamente con el coste de una contratación equivalente; y qué pasa el primer mes, en pasos concretos — el mismo Kickoff, Auditoría, Diseño y Despliegue ya fijado en LAB 12.</w:t>
      </w:r>
    </w:p>
    <w:p w14:paraId="64FE6CC1" w14:textId="77777777" w:rsidR="0001417E" w:rsidRDefault="00000000">
      <w:pPr>
        <w:pStyle w:val="Heading2"/>
        <w:spacing w:before="340" w:after="160"/>
      </w:pPr>
      <w:r>
        <w:t>Capítulo 5 · Objeciones</w:t>
      </w:r>
    </w:p>
    <w:p w14:paraId="0F9F0D0C" w14:textId="77777777" w:rsidR="0001417E" w:rsidRDefault="00000000">
      <w:pPr>
        <w:spacing w:after="200" w:line="300" w:lineRule="auto"/>
      </w:pPr>
      <w:r>
        <w:t xml:space="preserve">Vrutal no rebate objeciones con entusiasmo — las rebate con evidencia, conforme a la honestidad intelectual del Artículo VI de la Constitución. Una objeción que Vrutal no puede responder con un dato o un caso real no se maquilla: se reconoce como una limitación genuina, y se ofrece lo que sí es cierto en su lugar.</w:t>
      </w:r>
    </w:p>
    <w:p w14:paraId="63C42C2C" w14:textId="77777777" w:rsidR="0001417E" w:rsidRDefault="00000000">
      <w:pPr>
        <w:spacing w:after="200" w:line="300" w:lineRule="auto"/>
      </w:pPr>
      <w:r>
        <w:t xml:space="preserve">Este capítulo no incluye todavía el catálogo real de objeciones. Enumerarlas sin haberlas escuchado de un prospecto real sería inventar evidencia, exactamente lo que el Artículo VI prohíbe. Se completa con las objeciones reales que vayan apareciendo en discovery, documentadas conforme al Aprendizaje Continuo del Artículo IV, no redactadas de antemano.</w:t>
      </w:r>
    </w:p>
    <w:p w14:paraId="77DF7144" w14:textId="77777777" w:rsidR="0001417E" w:rsidRDefault="00000000">
      <w:pPr>
        <w:pStyle w:val="Heading2"/>
        <w:spacing w:before="340" w:after="160"/>
      </w:pPr>
      <w:r>
        <w:t>Capítulo 6 · Demo: qué se muestra y qué no</w:t>
      </w:r>
    </w:p>
    <w:p w14:paraId="52094360" w14:textId="77777777" w:rsidR="0001417E" w:rsidRDefault="00000000">
      <w:pPr>
        <w:spacing w:after="200" w:line="300" w:lineRule="auto"/>
      </w:pPr>
      <w:r>
        <w:lastRenderedPageBreak/>
        <w:t xml:space="preserve">La demo de Vrutal nunca es una demo genérica del producto — es una demo construida con los datos reales que el prospecto compartió en discovery, o con datos representativos de su sector si todavía no compartió los suyos.</w:t>
      </w:r>
    </w:p>
    <w:p w14:paraId="486A9583" w14:textId="77777777" w:rsidR="0001417E" w:rsidRDefault="00000000">
      <w:pPr>
        <w:spacing w:after="200" w:line="300" w:lineRule="auto"/>
      </w:pPr>
      <w:r>
        <w:t>Qué nunca se muestra en una demo: un especialista fuera del alcance de decisión que su ficha, fijada en LAB 07, Capítulo 2, ya le fija; ni una promesa de alcance autónomo que ese especialista todavía no tiene validado en producción, conforme a LAB 08, Capítulo 17.</w:t>
      </w:r>
    </w:p>
    <w:p w14:paraId="3BF6A20D" w14:textId="77777777" w:rsidR="0001417E" w:rsidRDefault="00000000">
      <w:r>
        <w:br w:type="page"/>
      </w:r>
    </w:p>
    <w:p w14:paraId="7FB38FEE" w14:textId="77777777" w:rsidR="0001417E" w:rsidRDefault="00000000">
      <w:pPr>
        <w:spacing w:before="200" w:after="40"/>
      </w:pPr>
      <w:r>
        <w:rPr>
          <w:b/>
          <w:bCs/>
          <w:color w:val="6C4CFF"/>
        </w:rPr>
        <w:lastRenderedPageBreak/>
        <w:t>PARTE III</w:t>
      </w:r>
    </w:p>
    <w:p w14:paraId="26A59B0B" w14:textId="77777777" w:rsidR="0001417E" w:rsidRDefault="00000000">
      <w:pPr>
        <w:pBdr>
          <w:bottom w:val="single" w:sz="10" w:space="8" w:color="6C4CFF"/>
        </w:pBdr>
        <w:spacing w:after="40"/>
      </w:pPr>
      <w:r>
        <w:rPr>
          <w:b/>
          <w:bCs/>
          <w:sz w:val="30"/>
          <w:szCs w:val="30"/>
        </w:rPr>
        <w:t>PRICING Y CONTRATOS</w:t>
      </w:r>
    </w:p>
    <w:p w14:paraId="3A39B8F5" w14:textId="77777777" w:rsidR="0001417E" w:rsidRDefault="00000000">
      <w:pPr>
        <w:spacing w:after="280"/>
      </w:pPr>
      <w:r>
        <w:rPr>
          <w:i/>
          <w:iCs/>
          <w:color w:val="8A8F98"/>
          <w:sz w:val="20"/>
          <w:szCs w:val="20"/>
        </w:rPr>
        <w:t>Lo que ya está decidido, y lo que sigue abierto</w:t>
      </w:r>
    </w:p>
    <w:p w14:paraId="6E51F92C" w14:textId="77777777" w:rsidR="00E569A7" w:rsidRPr="00E569A7" w:rsidRDefault="00E569A7" w:rsidP="00E569A7">
      <w:pPr>
        <w:pStyle w:val="Heading2"/>
        <w:spacing w:before="340" w:after="160"/>
      </w:pPr>
      <w:r>
        <w:t>Capítulo 7 · El modelo de precios: los cinco tiers de LAB 13</w:t>
      </w:r>
    </w:p>
    <w:p w14:paraId="59D0F5F5" w14:textId="77777777" w:rsidR="00E569A7" w:rsidRPr="00E569A7" w:rsidRDefault="00E569A7" w:rsidP="00E569A7">
      <w:pPr>
        <w:spacing w:after="200" w:line="300" w:lineRule="auto"/>
      </w:pPr>
      <w:r>
        <w:t xml:space="preserve">Cada especialista representa un coste mensual fijo, conforme al modelo ya fijado en el Documento Fundacional — comparable al coste de un puesto de trabajo, pero sin las cargas de estructura de una contratación tradicional. Este anclaje no cambia: Vrutal no vende una herramienta de software, vende un especialista, y su precio se justifica contra el coste humano del rol que cubre, no contra el de una licencia.</w:t>
      </w:r>
    </w:p>
    <w:p w14:paraId="4078A447" w14:textId="77777777" w:rsidR="00E569A7" w:rsidRPr="00E569A7" w:rsidRDefault="00E569A7" w:rsidP="00E569A7">
      <w:pPr>
        <w:spacing w:after="200" w:line="300" w:lineRule="auto"/>
      </w:pPr>
      <w:r>
        <w:t xml:space="preserve">El precio se organiza en cinco tiers, fijados por LAB 13 · Finance como fuente de verdad del coste real de cada uno. Este capítulo los adopta tal cual — sin una tabla propia que pueda desincronizarse — porque un precio que se defiende en una conversación de venta y un coste que se defiende ante una subida de infraestructura tienen que ser, siempre, el mismo número:</w:t>
      </w:r>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90" w:type="dxa"/>
          <w:bottom w:w="60" w:type="dxa"/>
          <w:right w:w="90" w:type="dxa"/>
        </w:tblCellMar>
      </w:tblPr>
      <w:tblGrid>
        <w:gridCol w:w="1150"/>
        <w:gridCol w:w="950"/>
        <w:gridCol w:w="1000"/>
        <w:gridCol w:w="2600"/>
        <w:gridCol w:w="2100"/>
        <w:gridCol w:w="1226"/>
      </w:tblGrid>
      <w:tr>
        <w:tc>
          <w:tcPr>
            <w:tcW w:w="1150" w:type="dxa"/>
            <w:shd w:val="clear" w:color="auto" w:fill="EFECFF"/>
          </w:tcPr>
          <w:p>
            <w:pPr>
              <w:spacing w:after="0"/>
            </w:pPr>
            <w:r>
              <w:rPr>
                <w:b/>
                <w:bCs/>
                <w:sz w:val="19"/>
                <w:szCs w:val="19"/>
              </w:rPr>
              <w:t xml:space="preserve">Tier</w:t>
            </w:r>
          </w:p>
        </w:tc>
        <w:tc>
          <w:tcPr>
            <w:tcW w:w="950" w:type="dxa"/>
            <w:shd w:val="clear" w:color="auto" w:fill="EFECFF"/>
          </w:tcPr>
          <w:p>
            <w:pPr>
              <w:spacing w:after="0"/>
            </w:pPr>
            <w:r>
              <w:rPr>
                <w:b/>
                <w:bCs/>
                <w:sz w:val="19"/>
                <w:szCs w:val="19"/>
              </w:rPr>
              <w:t xml:space="preserve">Precio/mes</w:t>
            </w:r>
          </w:p>
        </w:tc>
        <w:tc>
          <w:tcPr>
            <w:tcW w:w="1000" w:type="dxa"/>
            <w:shd w:val="clear" w:color="auto" w:fill="EFECFF"/>
          </w:tcPr>
          <w:p>
            <w:pPr>
              <w:spacing w:after="0"/>
            </w:pPr>
            <w:r>
              <w:rPr>
                <w:b/>
                <w:bCs/>
                <w:sz w:val="19"/>
                <w:szCs w:val="19"/>
              </w:rPr>
              <w:t xml:space="preserve">Riesgo (LAB 08)</w:t>
            </w:r>
          </w:p>
        </w:tc>
        <w:tc>
          <w:tcPr>
            <w:tcW w:w="2600" w:type="dxa"/>
            <w:shd w:val="clear" w:color="auto" w:fill="EFECFF"/>
          </w:tcPr>
          <w:p>
            <w:pPr>
              <w:spacing w:after="0"/>
            </w:pPr>
            <w:r>
              <w:rPr>
                <w:b/>
                <w:bCs/>
                <w:sz w:val="19"/>
                <w:szCs w:val="19"/>
              </w:rPr>
              <w:t xml:space="preserve">Dónde corre</w:t>
            </w:r>
          </w:p>
        </w:tc>
        <w:tc>
          <w:tcPr>
            <w:tcW w:w="2100" w:type="dxa"/>
            <w:shd w:val="clear" w:color="auto" w:fill="EFECFF"/>
          </w:tcPr>
          <w:p>
            <w:pPr>
              <w:spacing w:after="0"/>
            </w:pPr>
            <w:r>
              <w:rPr>
                <w:b/>
                <w:bCs/>
                <w:sz w:val="19"/>
                <w:szCs w:val="19"/>
              </w:rPr>
              <w:t xml:space="preserve">Infraestructura real</w:t>
            </w:r>
          </w:p>
        </w:tc>
        <w:tc>
          <w:tcPr>
            <w:tcW w:w="1226" w:type="dxa"/>
            <w:shd w:val="clear" w:color="auto" w:fill="EFECFF"/>
          </w:tcPr>
          <w:p>
            <w:pPr>
              <w:spacing w:after="0"/>
            </w:pPr>
            <w:r>
              <w:rPr>
                <w:b/>
                <w:bCs/>
                <w:sz w:val="19"/>
                <w:szCs w:val="19"/>
              </w:rPr>
              <w:t xml:space="preserve">Margen bruto aprox.</w:t>
            </w:r>
          </w:p>
        </w:tc>
      </w:tr>
      <w:tr>
        <w:tc>
          <w:tcPr>
            <w:tcW w:w="1150" w:type="dxa"/>
          </w:tcPr>
          <w:p>
            <w:pPr>
              <w:spacing w:after="0"/>
            </w:pPr>
            <w:r>
              <w:rPr>
                <w:b/>
                <w:bCs/>
                <w:color w:val="6C4CFF"/>
                <w:sz w:val="19"/>
                <w:szCs w:val="19"/>
              </w:rPr>
              <w:t xml:space="preserve">1 · Simple</w:t>
            </w:r>
          </w:p>
        </w:tc>
        <w:tc>
          <w:tcPr>
            <w:tcW w:w="950" w:type="dxa"/>
          </w:tcPr>
          <w:p>
            <w:pPr>
              <w:spacing w:after="0"/>
            </w:pPr>
            <w:r>
              <w:rPr>
                <w:sz w:val="19"/>
                <w:szCs w:val="19"/>
              </w:rPr>
              <w:t xml:space="preserve">150 €</w:t>
            </w:r>
          </w:p>
        </w:tc>
        <w:tc>
          <w:tcPr>
            <w:tcW w:w="1000" w:type="dxa"/>
          </w:tcPr>
          <w:p>
            <w:pPr>
              <w:spacing w:after="0"/>
            </w:pPr>
            <w:r>
              <w:rPr>
                <w:sz w:val="19"/>
                <w:szCs w:val="19"/>
              </w:rPr>
              <w:t xml:space="preserve">Bajo</w:t>
            </w:r>
          </w:p>
        </w:tc>
        <w:tc>
          <w:tcPr>
            <w:tcW w:w="2600" w:type="dxa"/>
          </w:tcPr>
          <w:p>
            <w:pPr>
              <w:spacing w:after="0"/>
            </w:pPr>
            <w:r>
              <w:rPr>
                <w:sz w:val="19"/>
                <w:szCs w:val="19"/>
              </w:rPr>
              <w:t xml:space="preserve">VPS compartido — fracción de un CPX22</w:t>
            </w:r>
          </w:p>
        </w:tc>
        <w:tc>
          <w:tcPr>
            <w:tcW w:w="2100" w:type="dxa"/>
          </w:tcPr>
          <w:p>
            <w:pPr>
              <w:spacing w:after="0"/>
            </w:pPr>
            <w:r>
              <w:rPr>
                <w:sz w:val="19"/>
                <w:szCs w:val="19"/>
              </w:rPr>
              <w:t xml:space="preserve">8-12 €</w:t>
            </w:r>
          </w:p>
        </w:tc>
        <w:tc>
          <w:tcPr>
            <w:tcW w:w="1226" w:type="dxa"/>
          </w:tcPr>
          <w:p>
            <w:pPr>
              <w:spacing w:after="0"/>
            </w:pPr>
            <w:r>
              <w:rPr>
                <w:sz w:val="19"/>
                <w:szCs w:val="19"/>
              </w:rPr>
              <w:t xml:space="preserve">~92%</w:t>
            </w:r>
          </w:p>
        </w:tc>
      </w:tr>
      <w:tr>
        <w:tc>
          <w:tcPr>
            <w:tcW w:w="1150" w:type="dxa"/>
          </w:tcPr>
          <w:p>
            <w:pPr>
              <w:spacing w:after="0"/>
            </w:pPr>
            <w:r>
              <w:rPr>
                <w:b/>
                <w:bCs/>
                <w:color w:val="6C4CFF"/>
                <w:sz w:val="19"/>
                <w:szCs w:val="19"/>
              </w:rPr>
              <w:t xml:space="preserve">2 · Medio-bajo</w:t>
            </w:r>
          </w:p>
        </w:tc>
        <w:tc>
          <w:tcPr>
            <w:tcW w:w="950" w:type="dxa"/>
          </w:tcPr>
          <w:p>
            <w:pPr>
              <w:spacing w:after="0"/>
            </w:pPr>
            <w:r>
              <w:rPr>
                <w:sz w:val="19"/>
                <w:szCs w:val="19"/>
              </w:rPr>
              <w:t xml:space="preserve">200-250 €</w:t>
            </w:r>
          </w:p>
        </w:tc>
        <w:tc>
          <w:tcPr>
            <w:tcW w:w="1000" w:type="dxa"/>
          </w:tcPr>
          <w:p>
            <w:pPr>
              <w:spacing w:after="0"/>
            </w:pPr>
            <w:r>
              <w:rPr>
                <w:sz w:val="19"/>
                <w:szCs w:val="19"/>
              </w:rPr>
              <w:t xml:space="preserve">Bajo-medio</w:t>
            </w:r>
          </w:p>
        </w:tc>
        <w:tc>
          <w:tcPr>
            <w:tcW w:w="2600" w:type="dxa"/>
          </w:tcPr>
          <w:p>
            <w:pPr>
              <w:spacing w:after="0"/>
            </w:pPr>
            <w:r>
              <w:rPr>
                <w:sz w:val="19"/>
                <w:szCs w:val="19"/>
              </w:rPr>
              <w:t xml:space="preserve">VPS compartido, más consultas a Qdrant/PostgreSQL</w:t>
            </w:r>
          </w:p>
        </w:tc>
        <w:tc>
          <w:tcPr>
            <w:tcW w:w="2100" w:type="dxa"/>
          </w:tcPr>
          <w:p>
            <w:pPr>
              <w:spacing w:after="0"/>
            </w:pPr>
            <w:r>
              <w:rPr>
                <w:sz w:val="19"/>
                <w:szCs w:val="19"/>
              </w:rPr>
              <w:t xml:space="preserve">15-20 €</w:t>
            </w:r>
          </w:p>
        </w:tc>
        <w:tc>
          <w:tcPr>
            <w:tcW w:w="1226" w:type="dxa"/>
          </w:tcPr>
          <w:p>
            <w:pPr>
              <w:spacing w:after="0"/>
            </w:pPr>
            <w:r>
              <w:rPr>
                <w:sz w:val="19"/>
                <w:szCs w:val="19"/>
              </w:rPr>
              <w:t xml:space="preserve">~90%</w:t>
            </w:r>
          </w:p>
        </w:tc>
      </w:tr>
      <w:tr>
        <w:tc>
          <w:tcPr>
            <w:tcW w:w="1150" w:type="dxa"/>
          </w:tcPr>
          <w:p>
            <w:pPr>
              <w:spacing w:after="0"/>
            </w:pPr>
            <w:r>
              <w:rPr>
                <w:b/>
                <w:bCs/>
                <w:color w:val="6C4CFF"/>
                <w:sz w:val="19"/>
                <w:szCs w:val="19"/>
              </w:rPr>
              <w:t xml:space="preserve">3 · Medio</w:t>
            </w:r>
          </w:p>
        </w:tc>
        <w:tc>
          <w:tcPr>
            <w:tcW w:w="950" w:type="dxa"/>
          </w:tcPr>
          <w:p>
            <w:pPr>
              <w:spacing w:after="0"/>
            </w:pPr>
            <w:r>
              <w:rPr>
                <w:sz w:val="19"/>
                <w:szCs w:val="19"/>
              </w:rPr>
              <w:t xml:space="preserve">450-500 €</w:t>
            </w:r>
          </w:p>
        </w:tc>
        <w:tc>
          <w:tcPr>
            <w:tcW w:w="1000" w:type="dxa"/>
          </w:tcPr>
          <w:p>
            <w:pPr>
              <w:spacing w:after="0"/>
            </w:pPr>
            <w:r>
              <w:rPr>
                <w:sz w:val="19"/>
                <w:szCs w:val="19"/>
              </w:rPr>
              <w:t xml:space="preserve">Medio</w:t>
            </w:r>
          </w:p>
        </w:tc>
        <w:tc>
          <w:tcPr>
            <w:tcW w:w="2600" w:type="dxa"/>
          </w:tcPr>
          <w:p>
            <w:pPr>
              <w:spacing w:after="0"/>
            </w:pPr>
            <w:r>
              <w:rPr>
                <w:sz w:val="19"/>
                <w:szCs w:val="19"/>
              </w:rPr>
              <w:t xml:space="preserve">VPS dedicado CPX32, repartido entre 2-3 roles del cliente</w:t>
            </w:r>
          </w:p>
        </w:tc>
        <w:tc>
          <w:tcPr>
            <w:tcW w:w="2100" w:type="dxa"/>
          </w:tcPr>
          <w:p>
            <w:pPr>
              <w:spacing w:after="0"/>
            </w:pPr>
            <w:r>
              <w:rPr>
                <w:sz w:val="19"/>
                <w:szCs w:val="19"/>
              </w:rPr>
              <w:t xml:space="preserve">40-60 €</w:t>
            </w:r>
          </w:p>
        </w:tc>
        <w:tc>
          <w:tcPr>
            <w:tcW w:w="1226" w:type="dxa"/>
          </w:tcPr>
          <w:p>
            <w:pPr>
              <w:spacing w:after="0"/>
            </w:pPr>
            <w:r>
              <w:rPr>
                <w:sz w:val="19"/>
                <w:szCs w:val="19"/>
              </w:rPr>
              <w:t xml:space="preserve">~87%</w:t>
            </w:r>
          </w:p>
        </w:tc>
      </w:tr>
      <w:tr>
        <w:tc>
          <w:tcPr>
            <w:tcW w:w="1150" w:type="dxa"/>
          </w:tcPr>
          <w:p>
            <w:pPr>
              <w:spacing w:after="0"/>
            </w:pPr>
            <w:r>
              <w:rPr>
                <w:b/>
                <w:bCs/>
                <w:color w:val="6C4CFF"/>
                <w:sz w:val="19"/>
                <w:szCs w:val="19"/>
              </w:rPr>
              <w:t xml:space="preserve">4 · Alto</w:t>
            </w:r>
          </w:p>
        </w:tc>
        <w:tc>
          <w:tcPr>
            <w:tcW w:w="950" w:type="dxa"/>
          </w:tcPr>
          <w:p>
            <w:pPr>
              <w:spacing w:after="0"/>
            </w:pPr>
            <w:r>
              <w:rPr>
                <w:sz w:val="19"/>
                <w:szCs w:val="19"/>
              </w:rPr>
              <w:t xml:space="preserve">700-800 €</w:t>
            </w:r>
          </w:p>
        </w:tc>
        <w:tc>
          <w:tcPr>
            <w:tcW w:w="1000" w:type="dxa"/>
          </w:tcPr>
          <w:p>
            <w:pPr>
              <w:spacing w:after="0"/>
            </w:pPr>
            <w:r>
              <w:rPr>
                <w:sz w:val="19"/>
                <w:szCs w:val="19"/>
              </w:rPr>
              <w:t xml:space="preserve">Alto</w:t>
            </w:r>
          </w:p>
        </w:tc>
        <w:tc>
          <w:tcPr>
            <w:tcW w:w="2600" w:type="dxa"/>
          </w:tcPr>
          <w:p>
            <w:pPr>
              <w:spacing w:after="0"/>
            </w:pPr>
            <w:r>
              <w:rPr>
                <w:sz w:val="19"/>
                <w:szCs w:val="19"/>
              </w:rPr>
              <w:t xml:space="preserve">VPS dedicado CPX42, alta concurrencia conversacional</w:t>
            </w:r>
          </w:p>
        </w:tc>
        <w:tc>
          <w:tcPr>
            <w:tcW w:w="2100" w:type="dxa"/>
          </w:tcPr>
          <w:p>
            <w:pPr>
              <w:spacing w:after="0"/>
            </w:pPr>
            <w:r>
              <w:rPr>
                <w:sz w:val="19"/>
                <w:szCs w:val="19"/>
              </w:rPr>
              <w:t xml:space="preserve">70-140 €</w:t>
            </w:r>
          </w:p>
        </w:tc>
        <w:tc>
          <w:tcPr>
            <w:tcW w:w="1226" w:type="dxa"/>
          </w:tcPr>
          <w:p>
            <w:pPr>
              <w:spacing w:after="0"/>
            </w:pPr>
            <w:r>
              <w:rPr>
                <w:sz w:val="19"/>
                <w:szCs w:val="19"/>
              </w:rPr>
              <w:t xml:space="preserve">~82%</w:t>
            </w:r>
          </w:p>
        </w:tc>
      </w:tr>
      <w:tr>
        <w:tc>
          <w:tcPr>
            <w:tcW w:w="1150" w:type="dxa"/>
          </w:tcPr>
          <w:p>
            <w:pPr>
              <w:spacing w:after="0"/>
            </w:pPr>
            <w:r>
              <w:rPr>
                <w:b/>
                <w:bCs/>
                <w:color w:val="6C4CFF"/>
                <w:sz w:val="19"/>
                <w:szCs w:val="19"/>
              </w:rPr>
              <w:t xml:space="preserve">5 · Seller</w:t>
            </w:r>
          </w:p>
        </w:tc>
        <w:tc>
          <w:tcPr>
            <w:tcW w:w="950" w:type="dxa"/>
          </w:tcPr>
          <w:p>
            <w:pPr>
              <w:spacing w:after="0"/>
            </w:pPr>
            <w:r>
              <w:rPr>
                <w:sz w:val="19"/>
                <w:szCs w:val="19"/>
              </w:rPr>
              <w:t xml:space="preserve">1.200 €</w:t>
            </w:r>
          </w:p>
        </w:tc>
        <w:tc>
          <w:tcPr>
            <w:tcW w:w="1000" w:type="dxa"/>
          </w:tcPr>
          <w:p>
            <w:pPr>
              <w:spacing w:after="0"/>
            </w:pPr>
            <w:r>
              <w:rPr>
                <w:sz w:val="19"/>
                <w:szCs w:val="19"/>
              </w:rPr>
              <w:t xml:space="preserve">Alto — ruta privada</w:t>
            </w:r>
          </w:p>
        </w:tc>
        <w:tc>
          <w:tcPr>
            <w:tcW w:w="2600" w:type="dxa"/>
          </w:tcPr>
          <w:p>
            <w:pPr>
              <w:spacing w:after="0"/>
            </w:pPr>
            <w:r>
              <w:rPr>
                <w:sz w:val="19"/>
                <w:szCs w:val="19"/>
              </w:rPr>
              <w:t xml:space="preserve">Modelo autoalojado (DeepSeek) en GPU de Vrutal</w:t>
            </w:r>
          </w:p>
        </w:tc>
        <w:tc>
          <w:tcPr>
            <w:tcW w:w="2100" w:type="dxa"/>
          </w:tcPr>
          <w:p>
            <w:pPr>
              <w:spacing w:after="0"/>
            </w:pPr>
            <w:r>
              <w:rPr>
                <w:sz w:val="19"/>
                <w:szCs w:val="19"/>
              </w:rPr>
              <w:t xml:space="preserve">150-250 € (GPU compartida) / 500-1.500 € (dedicada)</w:t>
            </w:r>
          </w:p>
        </w:tc>
        <w:tc>
          <w:tcPr>
            <w:tcW w:w="1226" w:type="dxa"/>
          </w:tcPr>
          <w:p>
            <w:pPr>
              <w:spacing w:after="0"/>
            </w:pPr>
            <w:r>
              <w:rPr>
                <w:sz w:val="19"/>
                <w:szCs w:val="19"/>
              </w:rPr>
              <w:t xml:space="preserve">60-87% variable</w:t>
            </w:r>
          </w:p>
        </w:tc>
      </w:tr>
    </w:tbl>
    <w:p w14:paraId="1A2B3C01" w14:textId="77777777" w:rsidR="0001417E" w:rsidRDefault="0001417E">
      <w:pPr>
        <w:spacing w:before="160" w:after="200" w:line="300" w:lineRule="auto"/>
      </w:pPr>
    </w:p>
    <w:p w14:paraId="77FD4891" w14:textId="77777777" w:rsidR="00E569A7" w:rsidRPr="00E569A7" w:rsidRDefault="00E569A7" w:rsidP="00E569A7">
      <w:pPr>
        <w:spacing w:after="200" w:line="300" w:lineRule="auto"/>
      </w:pPr>
      <w:r>
        <w:t xml:space="preserve">El precio de cada tier ya es el precio final: no se añade una línea de infraestructura ni un admin fee aparte en la factura del cliente — el coste real de VPS, backup y monitorización de la tabla anterior ya está descontado en el margen que calcula LAB 13. Si ese coste sube, se traslada mediante la cláusula de revisión de LAB 13, Capítulo 7 — nunca inventando una partida nueva en la factura.</w:t>
      </w:r>
    </w:p>
    <w:p w14:paraId="4AD5E6C6" w14:textId="77777777" w:rsidR="00E569A7" w:rsidRPr="00E569A7" w:rsidRDefault="00E569A7" w:rsidP="00E569A7">
      <w:pPr>
        <w:spacing w:after="200" w:line="300" w:lineRule="auto"/>
      </w:pPr>
      <w:r>
        <w:t xml:space="preserve">Vrutal no factura tokens ni consumo de API. Las cuentas de los modelos frontera se crean a nombre del cliente, y su consumo lo paga y lo ve él directamente, conforme a LAB 08, Capítulo 11. Vrutal no se interpone en ese coste variable, para no responsabilizarse de un gasto que depende del uso del propio cliente. La única excepción es el tier 5 · Seller, con modelo privado autoalojado, cuyo tratamiento económico se fija en LAB 13, Capítulo 3.</w:t>
      </w:r>
    </w:p>
    <w:p w14:paraId="0B031CC3" w14:textId="77777777" w:rsidR="00E569A7" w:rsidRPr="00E569A7" w:rsidRDefault="00E569A7" w:rsidP="00E569A7">
      <w:pPr>
        <w:spacing w:after="200" w:line="300" w:lineRule="auto"/>
      </w:pPr>
      <w:r>
        <w:t xml:space="preserve">El cargo de alta (auditoría, diseño y fine-tuning) se confirma en el Capítulo 8. Cualquier cambio a los números de la tabla anterior se hace primero en LAB 13 y se refleja aquí después — nunca al revés.</w:t>
      </w:r>
    </w:p>
    <w:p w14:paraId="32089DAA" w14:textId="77777777" w:rsidR="0001417E" w:rsidRDefault="00000000">
      <w:pPr>
        <w:pStyle w:val="Heading2"/>
        <w:spacing w:before="340" w:after="160"/>
      </w:pPr>
      <w:r>
        <w:t xml:space="preserve">Capítulo 8 · El deployment inicial: se cobra la auditoría</w:t>
      </w:r>
    </w:p>
    <w:p w14:paraId="0F954872" w14:textId="77777777" w:rsidR="0001417E" w:rsidRDefault="00000000">
      <w:pPr>
        <w:spacing w:after="200" w:line="300" w:lineRule="auto"/>
      </w:pPr>
      <w:r>
        <w:t xml:space="preserve">El Kickoff, la Auditoría y el Diseño fijados en LAB 12, Capítulo 3, son trabajo real antes de que exista ningún ingreso recurrente. Dejarlos gratis sin condición expone a Vrutal a financiar diagnósticos completos a prospectos que nunca firman.</w:t>
      </w:r>
    </w:p>
    <w:p w14:paraId="6D08EE0A" w14:textId="77777777" w:rsidR="0001417E" w:rsidRDefault="00000000">
      <w:pPr>
        <w:spacing w:after="200" w:line="300" w:lineRule="auto"/>
      </w:pPr>
      <w:r>
        <w:t xml:space="preserve">La auditoría inicial se cobra siempre, firme o no el prospecto, con un coste fijo propio. Descontarla íntegramente del primer mes de servicio no es aritméticamente viable: si la auditoría cuesta, por ejemplo, 1.000€ y el tier de entrada son 150€/mes, un único mes de cuota no alcanza a absorber ese descuento.</w:t>
      </w:r>
    </w:p>
    <w:p w14:paraId="6D08EE0B" w14:textId="77777777" w:rsidR="0001417E" w:rsidRDefault="00000000">
      <w:pPr>
        <w:spacing w:after="200" w:line="300" w:lineRule="auto"/>
      </w:pPr>
      <w:r>
        <w:t xml:space="preserve">En su lugar, si el prospecto firma, Vrutal devuelve el coste íntegro de la auditoría como un descuento mensual del 8,3% — 1/12 del total — durante los doce meses del segundo año de contrato: por ejemplo, 83€/mes durante los meses 13 a 24, sobre una auditoría de 1.000€. Un cliente que no llega al segundo año pagó la auditoría completa, sin devolución — el mismo principio que protegía el modelo anterior, aplicado ahora a un descuento que sí es aritméticamente posible: premia la permanencia real, no la firma sobre el papel.</w:t>
      </w:r>
    </w:p>
    <w:p w14:paraId="5B5A4C0B" w14:textId="77777777" w:rsidR="0001417E" w:rsidRDefault="00000000">
      <w:pPr>
        <w:pStyle w:val="Heading2"/>
        <w:spacing w:before="340" w:after="160"/>
      </w:pPr>
      <w:r>
        <w:t>Capítulo 9 · Términos de contrato</w:t>
      </w:r>
    </w:p>
    <w:p w14:paraId="32242859" w14:textId="77777777" w:rsidR="0001417E" w:rsidRDefault="00000000">
      <w:pPr>
        <w:spacing w:after="200" w:line="300" w:lineRule="auto"/>
      </w:pPr>
      <w:r>
        <w:t xml:space="preserve">Todo contrato de Vrutal fija una permanencia mínima de tres meses — el tiempo que LAB 12 estima necesario para que un especialista complete su primer ciclo de mejora continua y demuestre valor real, no solo teórico.</w:t>
      </w:r>
    </w:p>
    <w:p w14:paraId="302CBCD1" w14:textId="77777777" w:rsidR="0001417E" w:rsidRDefault="00000000">
      <w:pPr>
        <w:spacing w:after="200" w:line="300" w:lineRule="auto"/>
      </w:pPr>
      <w:r>
        <w:t>Cada especialista es un coste independiente, conforme al Capítulo 7: añadir o retirar un rol no exige renegociar el contrato completo, solo ajustar la lista de especialistas activos. Un cliente que se estabiliza en dos especialistas después del tercer mes no incumple nada — conforme a LAB 12, Capítulo 3, es un resultado tan válido como uno que amplía a ocho.</w:t>
      </w:r>
    </w:p>
    <w:p w14:paraId="302CBCD2" w14:textId="77777777" w:rsidR="0001417E" w:rsidRDefault="00000000">
      <w:pPr>
        <w:spacing w:after="200" w:line="300" w:lineRule="auto"/>
      </w:pPr>
      <w:r>
        <w:t xml:space="preserve">Punto abierto de este documento: un cliente que opera varios especialistas del mismo tier simultáneamente concentra volumen real de facturación recurrente, y ese volumen podría justificar un descuento — por ejemplo, entre un 5% y un 10% sobre la cuota total a partir de un número mínimo de especialistas activos del mismo tier, con diez como referencia de partida. La cifra exacta, el umbral y si el descuento se aplica por tier o sobre el conjunto del contrato quedan sin fijar: introducir un descuento por volumen sin datos reales de cuántos clientes llegan a ese volumen sería fijar un número por intuición, no por evidencia, exactamente lo que el Artículo VI prohíbe.</w:t>
      </w:r>
    </w:p>
    <w:p w14:paraId="3F5479A3" w14:textId="77777777" w:rsidR="0001417E" w:rsidRDefault="00000000">
      <w:r>
        <w:br w:type="page"/>
      </w:r>
    </w:p>
    <w:p w14:paraId="26CB48A5" w14:textId="77777777" w:rsidR="0001417E" w:rsidRDefault="00000000">
      <w:pPr>
        <w:spacing w:before="200" w:after="40"/>
      </w:pPr>
      <w:r>
        <w:rPr>
          <w:b/>
          <w:bCs/>
          <w:color w:val="6C4CFF"/>
        </w:rPr>
        <w:lastRenderedPageBreak/>
        <w:t>PARTE IV</w:t>
      </w:r>
    </w:p>
    <w:p w14:paraId="5FAEA108" w14:textId="77777777" w:rsidR="0001417E" w:rsidRDefault="00000000">
      <w:pPr>
        <w:pBdr>
          <w:bottom w:val="single" w:sz="10" w:space="8" w:color="6C4CFF"/>
        </w:pBdr>
        <w:spacing w:after="40"/>
      </w:pPr>
      <w:r>
        <w:rPr>
          <w:b/>
          <w:bCs/>
          <w:sz w:val="30"/>
          <w:szCs w:val="30"/>
        </w:rPr>
        <w:t>CÓMO VENDE VRUTAL POR DENTRO</w:t>
      </w:r>
    </w:p>
    <w:p w14:paraId="4964877F" w14:textId="77777777" w:rsidR="0001417E" w:rsidRDefault="00000000">
      <w:pPr>
        <w:spacing w:after="280"/>
      </w:pPr>
      <w:r>
        <w:rPr>
          <w:i/>
          <w:iCs/>
          <w:color w:val="8A8F98"/>
          <w:sz w:val="20"/>
          <w:szCs w:val="20"/>
        </w:rPr>
        <w:t>Aplicarse a sí misma su propio argumento de venta</w:t>
      </w:r>
    </w:p>
    <w:p w14:paraId="30AEF9F1" w14:textId="77777777" w:rsidR="0001417E" w:rsidRDefault="00000000">
      <w:pPr>
        <w:pStyle w:val="Heading2"/>
        <w:spacing w:before="340" w:after="160"/>
      </w:pPr>
      <w:r>
        <w:t xml:space="preserve">Capítulo 10 · El CRM de Vrutal</w:t>
      </w:r>
    </w:p>
    <w:p w14:paraId="43B74E1E" w14:textId="77777777" w:rsidR="0001417E" w:rsidRDefault="00000000">
      <w:pPr>
        <w:spacing w:after="200" w:line="300" w:lineRule="auto"/>
      </w:pPr>
      <w:r>
        <w:t xml:space="preserve">Vrutal no gestiona su propio pipeline de ventas con una herramienta convencional operada a mano, ni construye un CRM propio desde cero — aplica internamente el mismo patrón que despliega para sus clientes. Un especialista de Data (CRM/ERP), ya fijado en LAB 07, opera vía Activepieces sobre HubSpot como sistema de registro: HubSpot conserva la interfaz y el histórico; el especialista limpia, enriquece, prioriza leads y prepara el contexto de cada discovery antes de que una persona entre en la conversación.</w:t>
      </w:r>
    </w:p>
    <w:p w14:paraId="6A3CBE3F" w14:textId="77777777" w:rsidR="0001417E" w:rsidRDefault="00000000">
      <w:pPr>
        <w:spacing w:after="200" w:line="300" w:lineRule="auto"/>
      </w:pPr>
      <w:r>
        <w:t xml:space="preserve">Este es el mismo patrón que LAB 08, Capítulo 10, ya fija para cualquier integración: nunca se inventa infraestructura nueva, se conecta al tronco existente. Aquí, el tronco es HubSpot, no un sistema propio — exactamente como Vrutal nunca le pide a un cliente que sustituya su CRM ya en uso.</w:t>
      </w:r>
    </w:p>
    <w:p w14:paraId="375B5F90" w14:textId="77777777" w:rsidR="0001417E" w:rsidRDefault="00000000">
      <w:pPr>
        <w:pStyle w:val="Heading2"/>
        <w:spacing w:before="340" w:after="160"/>
      </w:pPr>
      <w:r>
        <w:t xml:space="preserve">Capítulo 11 · Roadmap de este documento</w:t>
      </w:r>
    </w:p>
    <w:p w14:paraId="476DE7A3" w14:textId="77777777" w:rsidR="0001417E" w:rsidRDefault="00000000">
      <w:pPr>
        <w:spacing w:after="200" w:line="300" w:lineRule="auto"/>
      </w:pPr>
      <w:r>
        <w:t>Lo que este documento deja abierto, deliberadamente:</w:t>
      </w:r>
    </w:p>
    <w:p w14:paraId="105B2762" w14:textId="77777777" w:rsidR="0001417E" w:rsidRDefault="00000000">
      <w:pPr>
        <w:spacing w:after="200" w:line="300" w:lineRule="auto"/>
      </w:pPr>
      <w:r>
        <w:t xml:space="preserve">— El catálogo real de objeciones del Capítulo 5, pendiente de casos reales de discovery. No se redacta antes: enumerarlas sin haberlas escuchado sería inventar evidencia, conforme al Artículo VI de la Constitución.</w:t>
      </w:r>
    </w:p>
    <w:p w14:paraId="105B2763" w14:textId="77777777" w:rsidR="0001417E" w:rsidRDefault="00000000">
      <w:pPr>
        <w:spacing w:after="200" w:line="300" w:lineRule="auto"/>
      </w:pPr>
      <w:r>
        <w:t xml:space="preserve">— El descuento por volumen de especialistas del Capítulo 9: rango, umbral y unidad de aplicación pendientes de datos reales de cartera de clientes.</w:t>
      </w:r>
    </w:p>
    <w:p w14:paraId="14029F9D" w14:textId="77777777" w:rsidR="0001417E" w:rsidRDefault="00000000">
      <w:pPr>
        <w:spacing w:after="200" w:line="300" w:lineRule="auto"/>
      </w:pPr>
      <w:r>
        <w:t>Las otras dos decisiones abiertas en v0.3 quedan cerradas en esta versión: el Capítulo 7 adopta los cinco tiers de LAB 13 en vez de una tabla propia, y el Capítulo 8 confirma el modelo de cobro de la auditoría inicial.</w:t>
      </w:r>
    </w:p>
    <w:p w14:paraId="43B208AD" w14:textId="77777777" w:rsidR="0001417E" w:rsidRDefault="0001417E">
      <w:pPr>
        <w:pBdr>
          <w:top w:val="single" w:sz="4" w:space="8" w:color="D9D9D9"/>
        </w:pBdr>
        <w:spacing w:before="320"/>
      </w:pPr>
    </w:p>
    <w:p w14:paraId="2003A8FF" w14:textId="77777777" w:rsidR="0001417E" w:rsidRDefault="00000000">
      <w:pPr>
        <w:spacing w:after="200" w:line="300" w:lineRule="auto"/>
      </w:pPr>
      <w:r>
        <w:t xml:space="preserve">Fin de LAB 10 · SALES v0.9. Once capítulos fijan cómo un lead calificado contra el ICP se convierte en un contrato firmado — con permanencia mínima de tres meses, precio por tier heredado de LAB 13, y un CRM que aplica sobre sí mismo el mismo patrón que Vrutal vende. Quedan dos decisiones abiertas, marcadas como tales: el catálogo de objeciones y el descuento por volumen esperan datos reales, no se inventan. Alcance cerrado; en espera de v1.0 al nacer Vrutal. LAB 11 · Marketing es la siguiente rama en la cola fijada por LAB 15.</w:t>
      </w:r>
    </w:p>
    <w:sectPr w:rsidR="0001417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nter">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33330D"/>
    <w:multiLevelType w:val="hybridMultilevel"/>
    <w:tmpl w:val="4940ABC6"/>
    <w:lvl w:ilvl="0" w:tplc="750A7AB0">
      <w:start w:val="1"/>
      <w:numFmt w:val="bullet"/>
      <w:lvlText w:val="●"/>
      <w:lvlJc w:val="left"/>
      <w:pPr>
        <w:ind w:left="720" w:hanging="360"/>
      </w:pPr>
    </w:lvl>
    <w:lvl w:ilvl="1" w:tplc="10AE356A">
      <w:start w:val="1"/>
      <w:numFmt w:val="bullet"/>
      <w:lvlText w:val="○"/>
      <w:lvlJc w:val="left"/>
      <w:pPr>
        <w:ind w:left="1440" w:hanging="360"/>
      </w:pPr>
    </w:lvl>
    <w:lvl w:ilvl="2" w:tplc="9B0C937A">
      <w:start w:val="1"/>
      <w:numFmt w:val="bullet"/>
      <w:lvlText w:val="■"/>
      <w:lvlJc w:val="left"/>
      <w:pPr>
        <w:ind w:left="2160" w:hanging="360"/>
      </w:pPr>
    </w:lvl>
    <w:lvl w:ilvl="3" w:tplc="53F8A152">
      <w:start w:val="1"/>
      <w:numFmt w:val="bullet"/>
      <w:lvlText w:val="●"/>
      <w:lvlJc w:val="left"/>
      <w:pPr>
        <w:ind w:left="2880" w:hanging="360"/>
      </w:pPr>
    </w:lvl>
    <w:lvl w:ilvl="4" w:tplc="584A67C4">
      <w:start w:val="1"/>
      <w:numFmt w:val="bullet"/>
      <w:lvlText w:val="○"/>
      <w:lvlJc w:val="left"/>
      <w:pPr>
        <w:ind w:left="3600" w:hanging="360"/>
      </w:pPr>
    </w:lvl>
    <w:lvl w:ilvl="5" w:tplc="59627C20">
      <w:start w:val="1"/>
      <w:numFmt w:val="bullet"/>
      <w:lvlText w:val="■"/>
      <w:lvlJc w:val="left"/>
      <w:pPr>
        <w:ind w:left="4320" w:hanging="360"/>
      </w:pPr>
    </w:lvl>
    <w:lvl w:ilvl="6" w:tplc="4E5C92D2">
      <w:start w:val="1"/>
      <w:numFmt w:val="bullet"/>
      <w:lvlText w:val="●"/>
      <w:lvlJc w:val="left"/>
      <w:pPr>
        <w:ind w:left="5040" w:hanging="360"/>
      </w:pPr>
    </w:lvl>
    <w:lvl w:ilvl="7" w:tplc="1E02B8D0">
      <w:start w:val="1"/>
      <w:numFmt w:val="bullet"/>
      <w:lvlText w:val="●"/>
      <w:lvlJc w:val="left"/>
      <w:pPr>
        <w:ind w:left="5760" w:hanging="360"/>
      </w:pPr>
    </w:lvl>
    <w:lvl w:ilvl="8" w:tplc="7674CCF2">
      <w:start w:val="1"/>
      <w:numFmt w:val="bullet"/>
      <w:lvlText w:val="●"/>
      <w:lvlJc w:val="left"/>
      <w:pPr>
        <w:ind w:left="6480" w:hanging="360"/>
      </w:pPr>
    </w:lvl>
  </w:abstractNum>
  <w:num w:numId="1" w16cid:durableId="2818899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17E"/>
    <w:rsid w:val="0001417E"/>
    <w:rsid w:val="00A9616A"/>
    <w:rsid w:val="00C51EFC"/>
    <w:rsid w:val="00E569A7"/>
    <w:rsid w:val="00F27C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155A1"/>
  <w15:docId w15:val="{FFBA9E5E-98A3-4EFC-9305-83706FF22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nter" w:eastAsia="Inter" w:hAnsi="Inter" w:cs="Inter"/>
        <w:color w:val="111111"/>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26"/>
      <w:szCs w:val="26"/>
    </w:rPr>
  </w:style>
  <w:style w:type="paragraph" w:styleId="Heading2">
    <w:name w:val="heading 2"/>
    <w:uiPriority w:val="9"/>
    <w:unhideWhenUsed/>
    <w:qFormat/>
    <w:pPr>
      <w:spacing w:before="300" w:after="14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8923600">
      <w:bodyDiv w:val="1"/>
      <w:marLeft w:val="0"/>
      <w:marRight w:val="0"/>
      <w:marTop w:val="0"/>
      <w:marBottom w:val="0"/>
      <w:divBdr>
        <w:top w:val="none" w:sz="0" w:space="0" w:color="auto"/>
        <w:left w:val="none" w:sz="0" w:space="0" w:color="auto"/>
        <w:bottom w:val="none" w:sz="0" w:space="0" w:color="auto"/>
        <w:right w:val="none" w:sz="0" w:space="0" w:color="auto"/>
      </w:divBdr>
    </w:div>
    <w:div w:id="17639180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1606</Words>
  <Characters>8838</Characters>
  <Application>Microsoft Office Word</Application>
  <DocSecurity>0</DocSecurity>
  <Lines>73</Lines>
  <Paragraphs>20</Paragraphs>
  <ScaleCrop>false</ScaleCrop>
  <Company/>
  <LinksUpToDate>false</LinksUpToDate>
  <CharactersWithSpaces>10424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Gonzalo Conde</cp:lastModifiedBy>
  <cp:revision>3</cp:revision>
  <dcterms:created xsi:type="dcterms:W3CDTF">2026-08-12T08:29:00Z</dcterms:created>
  <dcterms:modified xsi:type="dcterms:W3CDTF">2026-08-17T11:40:00Z</dcterms:modified>
</cp:coreProperties>
</file>