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60" w:line="300"/>
      </w:pPr>
      <w:r>
        <w:rPr>
          <w:rFonts w:ascii="Inter" w:cs="Inter" w:eastAsia="Inter" w:hAnsi="Inter"/>
          <w:b/>
          <w:bCs/>
          <w:color w:val="FF6A00"/>
          <w:sz w:val="20"/>
          <w:szCs w:val="20"/>
        </w:rPr>
        <w:t xml:space="preserve">VRUTAL LABS</w:t>
      </w:r>
    </w:p>
    <w:p>
      <w:pPr>
        <w:spacing w:after="240" w:line="300"/>
      </w:pPr>
      <w:r>
        <w:rPr>
          <w:rFonts w:ascii="Inter" w:cs="Inter" w:eastAsia="Inter" w:hAnsi="Inter"/>
          <w:b/>
          <w:bCs/>
          <w:color w:val="6B6B6B"/>
          <w:sz w:val="22"/>
          <w:szCs w:val="22"/>
        </w:rPr>
        <w:t xml:space="preserve">LAB 07 · ANEXO A</w:t>
      </w:r>
    </w:p>
    <w:p>
      <w:pPr>
        <w:spacing w:after="60" w:line="300"/>
      </w:pPr>
      <w:r>
        <w:rPr>
          <w:rFonts w:ascii="Inter" w:cs="Inter" w:eastAsia="Inter" w:hAnsi="Inter"/>
          <w:b/>
          <w:bCs/>
          <w:color w:val="111111"/>
          <w:sz w:val="56"/>
          <w:szCs w:val="56"/>
        </w:rPr>
        <w:t xml:space="preserve">Plantilla Maestra de Rol</w:t>
      </w:r>
    </w:p>
    <w:p>
      <w:pPr>
        <w:spacing w:after="400" w:line="300"/>
      </w:pPr>
      <w:r>
        <w:rPr>
          <w:rFonts w:ascii="Inter" w:cs="Inter" w:eastAsia="Inter" w:hAnsi="Inter"/>
          <w:color w:val="6B6B6B"/>
          <w:sz w:val="28"/>
          <w:szCs w:val="28"/>
        </w:rPr>
        <w:t xml:space="preserve">Ficha de Rol Vrutal · v1.0</w:t>
      </w:r>
    </w:p>
    <w:p>
      <w:pPr>
        <w:pBdr>
          <w:top w:val="single" w:color="7B4DFF" w:sz="12" w:space="8"/>
        </w:pBdr>
        <w:spacing w:after="200"/>
      </w:pPr>
    </w:p>
    <w:p>
      <w:pPr>
        <w:spacing w:after="400" w:line="300"/>
      </w:pPr>
      <w:r>
        <w:rPr>
          <w:rFonts w:ascii="Inter" w:cs="Inter" w:eastAsia="Inter" w:hAnsi="Inter"/>
          <w:i/>
          <w:iCs/>
          <w:color w:val="6B6B6B"/>
          <w:sz w:val="22"/>
          <w:szCs w:val="22"/>
        </w:rPr>
        <w:t xml:space="preserve">Un estándar único para definir roles, competencias, permisos y conocimiento — aplicable por igual a personas y a especialistas de IA.</w:t>
      </w:r>
    </w:p>
    <w:tbl>
      <w:tblPr>
        <w:tblW w:type="dxa" w:w="9026"/>
        <w:tblBorders>
          <w:top w:val="single" w:color="DDDDD8" w:sz="4"/>
          <w:left w:val="single" w:color="DDDDD8" w:sz="4"/>
          <w:bottom w:val="single" w:color="DDDDD8" w:sz="4"/>
          <w:right w:val="single" w:color="DDDDD8" w:sz="4"/>
          <w:insideH w:val="single" w:color="DDDDD8" w:sz="4"/>
          <w:insideV w:val="single" w:color="DDDDD8" w:sz="4"/>
        </w:tblBorders>
      </w:tblPr>
      <w:tblGrid>
        <w:gridCol w:w="2400"/>
        <w:gridCol w:w="6626"/>
      </w:tblGrid>
      <w:tr>
        <w:tc>
          <w:tcPr>
            <w:tcW w:type="dxa" w:w="24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Alcance</w:t>
            </w:r>
          </w:p>
        </w:tc>
        <w:tc>
          <w:tcPr>
            <w:tcW w:type="dxa" w:w="66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Uso interno de Vrutal. No es entregable de cliente.</w:t>
            </w:r>
          </w:p>
        </w:tc>
      </w:tr>
      <w:tr>
        <w:tc>
          <w:tcPr>
            <w:tcW w:type="dxa" w:w="24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Fuente de verdad</w:t>
            </w:r>
          </w:p>
        </w:tc>
        <w:tc>
          <w:tcPr>
            <w:tcW w:type="dxa" w:w="66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PostgreSQL (estado actual) + Qdrant (conocimiento recuperable). Git para el esquema.</w:t>
            </w:r>
          </w:p>
        </w:tc>
      </w:tr>
      <w:tr>
        <w:tc>
          <w:tcPr>
            <w:tcW w:type="dxa" w:w="24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Extiende</w:t>
            </w:r>
          </w:p>
        </w:tc>
        <w:tc>
          <w:tcPr>
            <w:tcW w:type="dxa" w:w="66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LAB 07, Cap. 2 — de 10 campos a 22. Retrocompatible.</w:t>
            </w:r>
          </w:p>
        </w:tc>
      </w:tr>
      <w:tr>
        <w:tc>
          <w:tcPr>
            <w:tcW w:type="dxa" w:w="24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Propietario</w:t>
            </w:r>
          </w:p>
        </w:tc>
        <w:tc>
          <w:tcPr>
            <w:tcW w:type="dxa" w:w="66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Dirección de Marketing Agéntico</w:t>
            </w:r>
          </w:p>
        </w:tc>
      </w:tr>
      <w:tr>
        <w:tc>
          <w:tcPr>
            <w:tcW w:type="dxa" w:w="24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Estado</w:t>
            </w:r>
          </w:p>
        </w:tc>
        <w:tc>
          <w:tcPr>
            <w:tcW w:type="dxa" w:w="6626"/>
            <w:shd w:fill="FFFFFF" w:val="clear"/>
            <w:tcMar>
              <w:top w:type="dxa" w:w="90"/>
              <w:left w:type="dxa" w:w="130"/>
              <w:bottom w:type="dxa" w:w="90"/>
              <w:right w:type="dxa" w:w="130"/>
            </w:tcMar>
          </w:tcPr>
          <w:p>
            <w:pPr>
              <w:spacing w:after="0" w:line="260"/>
            </w:pPr>
            <w:r>
              <w:rPr>
                <w:rFonts w:ascii="Inter" w:cs="Inter" w:eastAsia="Inter" w:hAnsi="Inter"/>
                <w:b/>
                <w:bCs/>
                <w:color w:val="FF6A00"/>
                <w:sz w:val="18"/>
                <w:szCs w:val="18"/>
              </w:rPr>
              <w:t xml:space="preserve">v1.0 · 13 ago 2026 · Listo para operar</w:t>
            </w:r>
          </w:p>
        </w:tc>
      </w:tr>
    </w:tbl>
    <w:p>
      <w:r>
        <w:br w:type="page"/>
      </w:r>
    </w:p>
    <w:p>
      <w:pPr>
        <w:pStyle w:val="Heading1"/>
        <w:pBdr>
          <w:bottom w:val="single" w:color="FF6A00" w:sz="12" w:space="6"/>
        </w:pBdr>
        <w:spacing w:after="200" w:before="400"/>
      </w:pPr>
      <w:r>
        <w:rPr>
          <w:rFonts w:ascii="Inter" w:cs="Inter" w:eastAsia="Inter" w:hAnsi="Inter"/>
          <w:b/>
          <w:bCs/>
          <w:color w:val="111111"/>
          <w:sz w:val="30"/>
          <w:szCs w:val="30"/>
        </w:rPr>
        <w:t xml:space="preserve">Índice</w:t>
      </w:r>
    </w:p>
    <w:tbl>
      <w:tblPr>
        <w:tblW w:type="dxa" w:w="9026"/>
        <w:tblBorders>
          <w:top w:val="single" w:color="DDDDD8" w:sz="4"/>
          <w:left w:val="single" w:color="DDDDD8" w:sz="4"/>
          <w:bottom w:val="single" w:color="DDDDD8" w:sz="4"/>
          <w:right w:val="single" w:color="DDDDD8" w:sz="4"/>
          <w:insideH w:val="single" w:color="DDDDD8" w:sz="4"/>
          <w:insideV w:val="single" w:color="DDDDD8" w:sz="4"/>
        </w:tblBorders>
      </w:tblPr>
      <w:tblGrid>
        <w:gridCol w:w="1200"/>
        <w:gridCol w:w="7826"/>
      </w:tblGrid>
      <w:tr>
        <w:tc>
          <w:tcPr>
            <w:tcW w:type="dxa" w:w="1200"/>
            <w:shd w:fill="FFFFFF" w:val="clear"/>
            <w:tcMar>
              <w:top w:type="dxa" w:w="90"/>
              <w:left w:type="dxa" w:w="130"/>
              <w:bottom w:type="dxa" w:w="90"/>
              <w:right w:type="dxa" w:w="130"/>
            </w:tcMar>
          </w:tcPr>
          <w:p>
            <w:pPr>
              <w:spacing w:after="0" w:line="260"/>
            </w:pPr>
            <w:r>
              <w:rPr>
                <w:rFonts w:ascii="Inter" w:cs="Inter" w:eastAsia="Inter" w:hAnsi="Inter"/>
                <w:b/>
                <w:bCs/>
                <w:color w:val="FF6A00"/>
                <w:sz w:val="18"/>
                <w:szCs w:val="18"/>
              </w:rPr>
              <w:t xml:space="preserve">0</w:t>
            </w:r>
          </w:p>
        </w:tc>
        <w:tc>
          <w:tcPr>
            <w:tcW w:type="dxa" w:w="78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Decisiones cerradas y por qué importan</w:t>
            </w:r>
          </w:p>
        </w:tc>
      </w:tr>
      <w:tr>
        <w:tc>
          <w:tcPr>
            <w:tcW w:type="dxa" w:w="1200"/>
            <w:shd w:fill="FFFFFF" w:val="clear"/>
            <w:tcMar>
              <w:top w:type="dxa" w:w="90"/>
              <w:left w:type="dxa" w:w="130"/>
              <w:bottom w:type="dxa" w:w="90"/>
              <w:right w:type="dxa" w:w="130"/>
            </w:tcMar>
          </w:tcPr>
          <w:p>
            <w:pPr>
              <w:spacing w:after="0" w:line="260"/>
            </w:pPr>
            <w:r>
              <w:rPr>
                <w:rFonts w:ascii="Inter" w:cs="Inter" w:eastAsia="Inter" w:hAnsi="Inter"/>
                <w:b/>
                <w:bCs/>
                <w:color w:val="FF6A00"/>
                <w:sz w:val="18"/>
                <w:szCs w:val="18"/>
              </w:rPr>
              <w:t xml:space="preserve">I</w:t>
            </w:r>
          </w:p>
        </w:tc>
        <w:tc>
          <w:tcPr>
            <w:tcW w:type="dxa" w:w="78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La ficha — 22 campos en cuatro bloques</w:t>
            </w:r>
          </w:p>
        </w:tc>
      </w:tr>
      <w:tr>
        <w:tc>
          <w:tcPr>
            <w:tcW w:type="dxa" w:w="1200"/>
            <w:shd w:fill="FFFFFF" w:val="clear"/>
            <w:tcMar>
              <w:top w:type="dxa" w:w="90"/>
              <w:left w:type="dxa" w:w="130"/>
              <w:bottom w:type="dxa" w:w="90"/>
              <w:right w:type="dxa" w:w="130"/>
            </w:tcMar>
          </w:tcPr>
          <w:p>
            <w:pPr>
              <w:spacing w:after="0" w:line="260"/>
            </w:pPr>
            <w:r>
              <w:rPr>
                <w:rFonts w:ascii="Inter" w:cs="Inter" w:eastAsia="Inter" w:hAnsi="Inter"/>
                <w:b/>
                <w:bCs/>
                <w:color w:val="FF6A00"/>
                <w:sz w:val="18"/>
                <w:szCs w:val="18"/>
              </w:rPr>
              <w:t xml:space="preserve">II</w:t>
            </w:r>
          </w:p>
        </w:tc>
        <w:tc>
          <w:tcPr>
            <w:tcW w:type="dxa" w:w="78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Matriz de interlocución — quién puede responder qué, y a quién</w:t>
            </w:r>
          </w:p>
        </w:tc>
      </w:tr>
      <w:tr>
        <w:tc>
          <w:tcPr>
            <w:tcW w:type="dxa" w:w="1200"/>
            <w:shd w:fill="FFFFFF" w:val="clear"/>
            <w:tcMar>
              <w:top w:type="dxa" w:w="90"/>
              <w:left w:type="dxa" w:w="130"/>
              <w:bottom w:type="dxa" w:w="90"/>
              <w:right w:type="dxa" w:w="130"/>
            </w:tcMar>
          </w:tcPr>
          <w:p>
            <w:pPr>
              <w:spacing w:after="0" w:line="260"/>
            </w:pPr>
            <w:r>
              <w:rPr>
                <w:rFonts w:ascii="Inter" w:cs="Inter" w:eastAsia="Inter" w:hAnsi="Inter"/>
                <w:b/>
                <w:bCs/>
                <w:color w:val="FF6A00"/>
                <w:sz w:val="18"/>
                <w:szCs w:val="18"/>
              </w:rPr>
              <w:t xml:space="preserve">III</w:t>
            </w:r>
          </w:p>
        </w:tc>
        <w:tc>
          <w:tcPr>
            <w:tcW w:type="dxa" w:w="78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Permisos de escritura</w:t>
            </w:r>
          </w:p>
        </w:tc>
      </w:tr>
      <w:tr>
        <w:tc>
          <w:tcPr>
            <w:tcW w:type="dxa" w:w="1200"/>
            <w:shd w:fill="FFFFFF" w:val="clear"/>
            <w:tcMar>
              <w:top w:type="dxa" w:w="90"/>
              <w:left w:type="dxa" w:w="130"/>
              <w:bottom w:type="dxa" w:w="90"/>
              <w:right w:type="dxa" w:w="130"/>
            </w:tcMar>
          </w:tcPr>
          <w:p>
            <w:pPr>
              <w:spacing w:after="0" w:line="260"/>
            </w:pPr>
            <w:r>
              <w:rPr>
                <w:rFonts w:ascii="Inter" w:cs="Inter" w:eastAsia="Inter" w:hAnsi="Inter"/>
                <w:b/>
                <w:bCs/>
                <w:color w:val="FF6A00"/>
                <w:sz w:val="18"/>
                <w:szCs w:val="18"/>
              </w:rPr>
              <w:t xml:space="preserve">IV</w:t>
            </w:r>
          </w:p>
        </w:tc>
        <w:tc>
          <w:tcPr>
            <w:tcW w:type="dxa" w:w="78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Competencias</w:t>
            </w:r>
          </w:p>
        </w:tc>
      </w:tr>
      <w:tr>
        <w:tc>
          <w:tcPr>
            <w:tcW w:type="dxa" w:w="1200"/>
            <w:shd w:fill="FFFFFF" w:val="clear"/>
            <w:tcMar>
              <w:top w:type="dxa" w:w="90"/>
              <w:left w:type="dxa" w:w="130"/>
              <w:bottom w:type="dxa" w:w="90"/>
              <w:right w:type="dxa" w:w="130"/>
            </w:tcMar>
          </w:tcPr>
          <w:p>
            <w:pPr>
              <w:spacing w:after="0" w:line="260"/>
            </w:pPr>
            <w:r>
              <w:rPr>
                <w:rFonts w:ascii="Inter" w:cs="Inter" w:eastAsia="Inter" w:hAnsi="Inter"/>
                <w:b/>
                <w:bCs/>
                <w:color w:val="FF6A00"/>
                <w:sz w:val="18"/>
                <w:szCs w:val="18"/>
              </w:rPr>
              <w:t xml:space="preserve">V</w:t>
            </w:r>
          </w:p>
        </w:tc>
        <w:tc>
          <w:tcPr>
            <w:tcW w:type="dxa" w:w="78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El paquete de conocimiento — la wiki del rol</w:t>
            </w:r>
          </w:p>
        </w:tc>
      </w:tr>
      <w:tr>
        <w:tc>
          <w:tcPr>
            <w:tcW w:type="dxa" w:w="1200"/>
            <w:shd w:fill="FFFFFF" w:val="clear"/>
            <w:tcMar>
              <w:top w:type="dxa" w:w="90"/>
              <w:left w:type="dxa" w:w="130"/>
              <w:bottom w:type="dxa" w:w="90"/>
              <w:right w:type="dxa" w:w="130"/>
            </w:tcMar>
          </w:tcPr>
          <w:p>
            <w:pPr>
              <w:spacing w:after="0" w:line="260"/>
            </w:pPr>
            <w:r>
              <w:rPr>
                <w:rFonts w:ascii="Inter" w:cs="Inter" w:eastAsia="Inter" w:hAnsi="Inter"/>
                <w:b/>
                <w:bCs/>
                <w:color w:val="FF6A00"/>
                <w:sz w:val="18"/>
                <w:szCs w:val="18"/>
              </w:rPr>
              <w:t xml:space="preserve">VI</w:t>
            </w:r>
          </w:p>
        </w:tc>
        <w:tc>
          <w:tcPr>
            <w:tcW w:type="dxa" w:w="78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Checklist de activación</w:t>
            </w:r>
          </w:p>
        </w:tc>
      </w:tr>
      <w:tr>
        <w:tc>
          <w:tcPr>
            <w:tcW w:type="dxa" w:w="1200"/>
            <w:shd w:fill="FFFFFF" w:val="clear"/>
            <w:tcMar>
              <w:top w:type="dxa" w:w="90"/>
              <w:left w:type="dxa" w:w="130"/>
              <w:bottom w:type="dxa" w:w="90"/>
              <w:right w:type="dxa" w:w="130"/>
            </w:tcMar>
          </w:tcPr>
          <w:p>
            <w:pPr>
              <w:spacing w:after="0" w:line="260"/>
            </w:pPr>
            <w:r>
              <w:rPr>
                <w:rFonts w:ascii="Inter" w:cs="Inter" w:eastAsia="Inter" w:hAnsi="Inter"/>
                <w:b/>
                <w:bCs/>
                <w:color w:val="FF6A00"/>
                <w:sz w:val="18"/>
                <w:szCs w:val="18"/>
              </w:rPr>
              <w:t xml:space="preserve">VII</w:t>
            </w:r>
          </w:p>
        </w:tc>
        <w:tc>
          <w:tcPr>
            <w:tcW w:type="dxa" w:w="78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Ficha ejemplo rellena — MKT-EJE-01 Especialista de Demanda</w:t>
            </w:r>
          </w:p>
        </w:tc>
      </w:tr>
      <w:tr>
        <w:tc>
          <w:tcPr>
            <w:tcW w:type="dxa" w:w="1200"/>
            <w:shd w:fill="FFFFFF" w:val="clear"/>
            <w:tcMar>
              <w:top w:type="dxa" w:w="90"/>
              <w:left w:type="dxa" w:w="130"/>
              <w:bottom w:type="dxa" w:w="90"/>
              <w:right w:type="dxa" w:w="130"/>
            </w:tcMar>
          </w:tcPr>
          <w:p>
            <w:pPr>
              <w:spacing w:after="0" w:line="260"/>
            </w:pPr>
            <w:r>
              <w:rPr>
                <w:rFonts w:ascii="Inter" w:cs="Inter" w:eastAsia="Inter" w:hAnsi="Inter"/>
                <w:b/>
                <w:bCs/>
                <w:color w:val="7B4DFF"/>
                <w:sz w:val="18"/>
                <w:szCs w:val="18"/>
              </w:rPr>
              <w:t xml:space="preserve">A</w:t>
            </w:r>
          </w:p>
        </w:tc>
        <w:tc>
          <w:tcPr>
            <w:tcW w:type="dxa" w:w="78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Anexo · Esquema de datos en PostgreSQL y Qdrant</w:t>
            </w:r>
          </w:p>
        </w:tc>
      </w:tr>
    </w:tbl>
    <w:p>
      <w:pPr>
        <w:spacing w:after="300"/>
      </w:pPr>
    </w:p>
    <w:p>
      <w:pPr>
        <w:spacing w:after="120" w:line="300"/>
      </w:pPr>
      <w:r>
        <w:rPr>
          <w:rFonts w:ascii="Inter" w:cs="Inter" w:eastAsia="Inter" w:hAnsi="Inter"/>
          <w:b/>
          <w:bCs/>
          <w:color w:val="6B6B6B"/>
          <w:sz w:val="20"/>
          <w:szCs w:val="20"/>
        </w:rPr>
        <w:t xml:space="preserve">Cómo se lee este documento. </w:t>
      </w:r>
      <w:r>
        <w:rPr>
          <w:rFonts w:ascii="Inter" w:cs="Inter" w:eastAsia="Inter" w:hAnsi="Inter"/>
          <w:color w:val="6B6B6B"/>
          <w:sz w:val="20"/>
          <w:szCs w:val="20"/>
        </w:rPr>
        <w:t xml:space="preserve">Las partes I a VI son el estándar: se aplican a todo rol nuevo. La parte VII es un ejemplo completo que sirve de referencia al rellenar. El anexo solo interesa a quien implante la ficha en base de datos.</w:t>
      </w:r>
    </w:p>
    <w:p>
      <w:r>
        <w:br w:type="page"/>
      </w:r>
    </w:p>
    <w:p>
      <w:pPr>
        <w:pStyle w:val="Heading1"/>
        <w:pBdr>
          <w:bottom w:val="single" w:color="FF6A00" w:sz="12" w:space="6"/>
        </w:pBdr>
        <w:spacing w:after="200" w:before="400"/>
      </w:pPr>
      <w:r>
        <w:rPr>
          <w:rFonts w:ascii="Inter" w:cs="Inter" w:eastAsia="Inter" w:hAnsi="Inter"/>
          <w:b/>
          <w:bCs/>
          <w:color w:val="111111"/>
          <w:sz w:val="30"/>
          <w:szCs w:val="30"/>
        </w:rPr>
        <w:t xml:space="preserve">0 · Decisiones cerradas y por qué importan</w:t>
      </w:r>
    </w:p>
    <w:p>
      <w:pPr>
        <w:spacing w:after="120" w:line="300"/>
      </w:pPr>
      <w:r>
        <w:rPr>
          <w:rFonts w:ascii="Inter" w:cs="Inter" w:eastAsia="Inter" w:hAnsi="Inter"/>
          <w:color w:val="111111"/>
          <w:sz w:val="20"/>
          <w:szCs w:val="20"/>
        </w:rPr>
        <w:t xml:space="preserve">Esta versión cierra las cinco decisiones que la v0.1 dejó abiertas. Dos de ellas cambian el diseño del documento, no solo su contenido.</w:t>
      </w:r>
    </w:p>
    <w:tbl>
      <w:tblPr>
        <w:tblW w:type="dxa" w:w="9026"/>
        <w:tblBorders>
          <w:top w:val="single" w:color="DDDDD8" w:sz="4"/>
          <w:left w:val="single" w:color="DDDDD8" w:sz="4"/>
          <w:bottom w:val="single" w:color="DDDDD8" w:sz="4"/>
          <w:right w:val="single" w:color="DDDDD8" w:sz="4"/>
          <w:insideH w:val="single" w:color="DDDDD8" w:sz="4"/>
          <w:insideV w:val="single" w:color="DDDDD8" w:sz="4"/>
        </w:tblBorders>
      </w:tblPr>
      <w:tblGrid>
        <w:gridCol w:w="500"/>
        <w:gridCol w:w="3300"/>
        <w:gridCol w:w="5226"/>
      </w:tblGrid>
      <w:tr>
        <w:trPr>
          <w:tblHeader/>
        </w:trPr>
        <w:tc>
          <w:tcPr>
            <w:tcW w:type="dxa" w:w="50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w:t>
            </w:r>
          </w:p>
        </w:tc>
        <w:tc>
          <w:tcPr>
            <w:tcW w:type="dxa" w:w="330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Decisión</w:t>
            </w:r>
          </w:p>
        </w:tc>
        <w:tc>
          <w:tcPr>
            <w:tcW w:type="dxa" w:w="5226"/>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Resolución</w:t>
            </w:r>
          </w:p>
        </w:tc>
      </w:tr>
      <w:tr>
        <w:tc>
          <w:tcPr>
            <w:tcW w:type="dxa" w:w="500"/>
            <w:shd w:fill="FFFFFF" w:val="clear"/>
            <w:tcMar>
              <w:top w:type="dxa" w:w="90"/>
              <w:left w:type="dxa" w:w="130"/>
              <w:bottom w:type="dxa" w:w="90"/>
              <w:right w:type="dxa" w:w="130"/>
            </w:tcMar>
          </w:tcPr>
          <w:p>
            <w:pPr>
              <w:spacing w:after="0" w:line="260"/>
            </w:pPr>
            <w:r>
              <w:rPr>
                <w:rFonts w:ascii="Inter" w:cs="Inter" w:eastAsia="Inter" w:hAnsi="Inter"/>
                <w:b w:val="false"/>
                <w:bCs w:val="false"/>
                <w:color w:val="111111"/>
                <w:sz w:val="18"/>
                <w:szCs w:val="18"/>
              </w:rPr>
              <w:t xml:space="preserve">1</w:t>
            </w:r>
          </w:p>
        </w:tc>
        <w:tc>
          <w:tcPr>
            <w:tcW w:type="dxa" w:w="3300"/>
            <w:shd w:fill="FFFFFF" w:val="clear"/>
            <w:tcMar>
              <w:top w:type="dxa" w:w="90"/>
              <w:left w:type="dxa" w:w="130"/>
              <w:bottom w:type="dxa" w:w="90"/>
              <w:right w:type="dxa" w:w="130"/>
            </w:tcMar>
          </w:tcPr>
          <w:p>
            <w:pPr>
              <w:spacing w:after="0" w:line="260"/>
            </w:pPr>
            <w:r>
              <w:rPr>
                <w:rFonts w:ascii="Inter" w:cs="Inter" w:eastAsia="Inter" w:hAnsi="Inter"/>
                <w:b w:val="false"/>
                <w:bCs w:val="false"/>
                <w:color w:val="111111"/>
                <w:sz w:val="18"/>
                <w:szCs w:val="18"/>
              </w:rPr>
              <w:t xml:space="preserve">Alcance de uso</w:t>
            </w:r>
          </w:p>
        </w:tc>
        <w:tc>
          <w:tcPr>
            <w:tcW w:type="dxa" w:w="5226"/>
            <w:shd w:fill="FFFFFF" w:val="clear"/>
            <w:tcMar>
              <w:top w:type="dxa" w:w="90"/>
              <w:left w:type="dxa" w:w="130"/>
              <w:bottom w:type="dxa" w:w="90"/>
              <w:right w:type="dxa" w:w="130"/>
            </w:tcMar>
          </w:tcPr>
          <w:p>
            <w:pPr>
              <w:spacing w:after="0" w:line="260"/>
            </w:pPr>
            <w:r>
              <w:rPr>
                <w:rFonts w:ascii="Inter" w:cs="Inter" w:eastAsia="Inter" w:hAnsi="Inter"/>
                <w:b w:val="false"/>
                <w:bCs w:val="false"/>
                <w:color w:val="111111"/>
                <w:sz w:val="18"/>
                <w:szCs w:val="18"/>
              </w:rPr>
              <w:t xml:space="preserve">Solo Vrutal interno. La plantilla describe cómo se organiza Vrutal, no lo que se entrega a un cliente. La versión de cliente, si se necesita, será una derivada — no esta.</w:t>
            </w:r>
          </w:p>
        </w:tc>
      </w:tr>
      <w:tr>
        <w:tc>
          <w:tcPr>
            <w:tcW w:type="dxa" w:w="500"/>
            <w:shd w:fill="FFFFFF" w:val="clear"/>
            <w:tcMar>
              <w:top w:type="dxa" w:w="90"/>
              <w:left w:type="dxa" w:w="130"/>
              <w:bottom w:type="dxa" w:w="90"/>
              <w:right w:type="dxa" w:w="130"/>
            </w:tcMar>
          </w:tcPr>
          <w:p>
            <w:pPr>
              <w:spacing w:after="0" w:line="260"/>
            </w:pPr>
            <w:r>
              <w:rPr>
                <w:rFonts w:ascii="Inter" w:cs="Inter" w:eastAsia="Inter" w:hAnsi="Inter"/>
                <w:b w:val="false"/>
                <w:bCs w:val="false"/>
                <w:color w:val="111111"/>
                <w:sz w:val="18"/>
                <w:szCs w:val="18"/>
              </w:rPr>
              <w:t xml:space="preserve">2</w:t>
            </w:r>
          </w:p>
        </w:tc>
        <w:tc>
          <w:tcPr>
            <w:tcW w:type="dxa" w:w="3300"/>
            <w:shd w:fill="FFFFFF" w:val="clear"/>
            <w:tcMar>
              <w:top w:type="dxa" w:w="90"/>
              <w:left w:type="dxa" w:w="130"/>
              <w:bottom w:type="dxa" w:w="90"/>
              <w:right w:type="dxa" w:w="130"/>
            </w:tcMar>
          </w:tcPr>
          <w:p>
            <w:pPr>
              <w:spacing w:after="0" w:line="260"/>
            </w:pPr>
            <w:r>
              <w:rPr>
                <w:rFonts w:ascii="Inter" w:cs="Inter" w:eastAsia="Inter" w:hAnsi="Inter"/>
                <w:b w:val="false"/>
                <w:bCs w:val="false"/>
                <w:color w:val="111111"/>
                <w:sz w:val="18"/>
                <w:szCs w:val="18"/>
              </w:rPr>
              <w:t xml:space="preserve">Fuente de verdad</w:t>
            </w:r>
          </w:p>
        </w:tc>
        <w:tc>
          <w:tcPr>
            <w:tcW w:type="dxa" w:w="5226"/>
            <w:shd w:fill="FFFFFF" w:val="clear"/>
            <w:tcMar>
              <w:top w:type="dxa" w:w="90"/>
              <w:left w:type="dxa" w:w="130"/>
              <w:bottom w:type="dxa" w:w="90"/>
              <w:right w:type="dxa" w:w="130"/>
            </w:tcMar>
          </w:tcPr>
          <w:p>
            <w:pPr>
              <w:spacing w:after="0" w:line="260"/>
            </w:pPr>
            <w:r>
              <w:rPr>
                <w:rFonts w:ascii="Inter" w:cs="Inter" w:eastAsia="Inter" w:hAnsi="Inter"/>
                <w:b w:val="false"/>
                <w:bCs w:val="false"/>
                <w:color w:val="111111"/>
                <w:sz w:val="18"/>
                <w:szCs w:val="18"/>
              </w:rPr>
              <w:t xml:space="preserve">PostgreSQL + Qdrant. Ver la reconciliación con LAB 08 más abajo: no es una contradicción, son tres preguntas distintas.</w:t>
            </w:r>
          </w:p>
        </w:tc>
      </w:tr>
      <w:tr>
        <w:tc>
          <w:tcPr>
            <w:tcW w:type="dxa" w:w="500"/>
            <w:shd w:fill="FFFFFF" w:val="clear"/>
            <w:tcMar>
              <w:top w:type="dxa" w:w="90"/>
              <w:left w:type="dxa" w:w="130"/>
              <w:bottom w:type="dxa" w:w="90"/>
              <w:right w:type="dxa" w:w="130"/>
            </w:tcMar>
          </w:tcPr>
          <w:p>
            <w:pPr>
              <w:spacing w:after="0" w:line="260"/>
            </w:pPr>
            <w:r>
              <w:rPr>
                <w:rFonts w:ascii="Inter" w:cs="Inter" w:eastAsia="Inter" w:hAnsi="Inter"/>
                <w:b w:val="false"/>
                <w:bCs w:val="false"/>
                <w:color w:val="111111"/>
                <w:sz w:val="18"/>
                <w:szCs w:val="18"/>
              </w:rPr>
              <w:t xml:space="preserve">3</w:t>
            </w:r>
          </w:p>
        </w:tc>
        <w:tc>
          <w:tcPr>
            <w:tcW w:type="dxa" w:w="3300"/>
            <w:shd w:fill="FFFFFF" w:val="clear"/>
            <w:tcMar>
              <w:top w:type="dxa" w:w="90"/>
              <w:left w:type="dxa" w:w="130"/>
              <w:bottom w:type="dxa" w:w="90"/>
              <w:right w:type="dxa" w:w="130"/>
            </w:tcMar>
          </w:tcPr>
          <w:p>
            <w:pPr>
              <w:spacing w:after="0" w:line="260"/>
            </w:pPr>
            <w:r>
              <w:rPr>
                <w:rFonts w:ascii="Inter" w:cs="Inter" w:eastAsia="Inter" w:hAnsi="Inter"/>
                <w:b w:val="false"/>
                <w:bCs w:val="false"/>
                <w:color w:val="111111"/>
                <w:sz w:val="18"/>
                <w:szCs w:val="18"/>
              </w:rPr>
              <w:t xml:space="preserve">Apertura de nivel D4</w:t>
            </w:r>
          </w:p>
        </w:tc>
        <w:tc>
          <w:tcPr>
            <w:tcW w:type="dxa" w:w="5226"/>
            <w:shd w:fill="FFFFFF" w:val="clear"/>
            <w:tcMar>
              <w:top w:type="dxa" w:w="90"/>
              <w:left w:type="dxa" w:w="130"/>
              <w:bottom w:type="dxa" w:w="90"/>
              <w:right w:type="dxa" w:w="130"/>
            </w:tcMar>
          </w:tcPr>
          <w:p>
            <w:pPr>
              <w:spacing w:after="0" w:line="260"/>
            </w:pPr>
            <w:r>
              <w:rPr>
                <w:rFonts w:ascii="Inter" w:cs="Inter" w:eastAsia="Inter" w:hAnsi="Inter"/>
                <w:b w:val="false"/>
                <w:bCs w:val="false"/>
                <w:color w:val="111111"/>
                <w:sz w:val="18"/>
                <w:szCs w:val="18"/>
              </w:rPr>
              <w:t xml:space="preserve">La concede el manager directo, con caducidad de 30 días y registro obligatorio. Ninguna apertura es permanente.</w:t>
            </w:r>
          </w:p>
        </w:tc>
      </w:tr>
      <w:tr>
        <w:tc>
          <w:tcPr>
            <w:tcW w:type="dxa" w:w="500"/>
            <w:shd w:fill="FFFFFF" w:val="clear"/>
            <w:tcMar>
              <w:top w:type="dxa" w:w="90"/>
              <w:left w:type="dxa" w:w="130"/>
              <w:bottom w:type="dxa" w:w="90"/>
              <w:right w:type="dxa" w:w="130"/>
            </w:tcMar>
          </w:tcPr>
          <w:p>
            <w:pPr>
              <w:spacing w:after="0" w:line="260"/>
            </w:pPr>
            <w:r>
              <w:rPr>
                <w:rFonts w:ascii="Inter" w:cs="Inter" w:eastAsia="Inter" w:hAnsi="Inter"/>
                <w:b w:val="false"/>
                <w:bCs w:val="false"/>
                <w:color w:val="111111"/>
                <w:sz w:val="18"/>
                <w:szCs w:val="18"/>
              </w:rPr>
              <w:t xml:space="preserve">4</w:t>
            </w:r>
          </w:p>
        </w:tc>
        <w:tc>
          <w:tcPr>
            <w:tcW w:type="dxa" w:w="3300"/>
            <w:shd w:fill="FFFFFF" w:val="clear"/>
            <w:tcMar>
              <w:top w:type="dxa" w:w="90"/>
              <w:left w:type="dxa" w:w="130"/>
              <w:bottom w:type="dxa" w:w="90"/>
              <w:right w:type="dxa" w:w="130"/>
            </w:tcMar>
          </w:tcPr>
          <w:p>
            <w:pPr>
              <w:spacing w:after="0" w:line="260"/>
            </w:pPr>
            <w:r>
              <w:rPr>
                <w:rFonts w:ascii="Inter" w:cs="Inter" w:eastAsia="Inter" w:hAnsi="Inter"/>
                <w:b w:val="false"/>
                <w:bCs w:val="false"/>
                <w:color w:val="111111"/>
                <w:sz w:val="18"/>
                <w:szCs w:val="18"/>
              </w:rPr>
              <w:t xml:space="preserve">Personas y especialistas</w:t>
            </w:r>
          </w:p>
        </w:tc>
        <w:tc>
          <w:tcPr>
            <w:tcW w:type="dxa" w:w="5226"/>
            <w:shd w:fill="FFFFFF" w:val="clear"/>
            <w:tcMar>
              <w:top w:type="dxa" w:w="90"/>
              <w:left w:type="dxa" w:w="130"/>
              <w:bottom w:type="dxa" w:w="90"/>
              <w:right w:type="dxa" w:w="130"/>
            </w:tcMar>
          </w:tcPr>
          <w:p>
            <w:pPr>
              <w:spacing w:after="0" w:line="260"/>
            </w:pPr>
            <w:r>
              <w:rPr>
                <w:rFonts w:ascii="Inter" w:cs="Inter" w:eastAsia="Inter" w:hAnsi="Inter"/>
                <w:b w:val="false"/>
                <w:bCs w:val="false"/>
                <w:color w:val="111111"/>
                <w:sz w:val="18"/>
                <w:szCs w:val="18"/>
              </w:rPr>
              <w:t xml:space="preserve">Mismo rigor desde el día 1. Un solo manual, conforme a LAB 12, Cap. 7.</w:t>
            </w:r>
          </w:p>
        </w:tc>
      </w:tr>
      <w:tr>
        <w:tc>
          <w:tcPr>
            <w:tcW w:type="dxa" w:w="500"/>
            <w:shd w:fill="FFFFFF" w:val="clear"/>
            <w:tcMar>
              <w:top w:type="dxa" w:w="90"/>
              <w:left w:type="dxa" w:w="130"/>
              <w:bottom w:type="dxa" w:w="90"/>
              <w:right w:type="dxa" w:w="130"/>
            </w:tcMar>
          </w:tcPr>
          <w:p>
            <w:pPr>
              <w:spacing w:after="0" w:line="260"/>
            </w:pPr>
            <w:r>
              <w:rPr>
                <w:rFonts w:ascii="Inter" w:cs="Inter" w:eastAsia="Inter" w:hAnsi="Inter"/>
                <w:b w:val="false"/>
                <w:bCs w:val="false"/>
                <w:color w:val="111111"/>
                <w:sz w:val="18"/>
                <w:szCs w:val="18"/>
              </w:rPr>
              <w:t xml:space="preserve">5</w:t>
            </w:r>
          </w:p>
        </w:tc>
        <w:tc>
          <w:tcPr>
            <w:tcW w:type="dxa" w:w="3300"/>
            <w:shd w:fill="FFFFFF" w:val="clear"/>
            <w:tcMar>
              <w:top w:type="dxa" w:w="90"/>
              <w:left w:type="dxa" w:w="130"/>
              <w:bottom w:type="dxa" w:w="90"/>
              <w:right w:type="dxa" w:w="130"/>
            </w:tcMar>
          </w:tcPr>
          <w:p>
            <w:pPr>
              <w:spacing w:after="0" w:line="260"/>
            </w:pPr>
            <w:r>
              <w:rPr>
                <w:rFonts w:ascii="Inter" w:cs="Inter" w:eastAsia="Inter" w:hAnsi="Inter"/>
                <w:b w:val="false"/>
                <w:bCs w:val="false"/>
                <w:color w:val="111111"/>
                <w:sz w:val="18"/>
                <w:szCs w:val="18"/>
              </w:rPr>
              <w:t xml:space="preserve">Visibilidad</w:t>
            </w:r>
          </w:p>
        </w:tc>
        <w:tc>
          <w:tcPr>
            <w:tcW w:type="dxa" w:w="5226"/>
            <w:shd w:fill="FFFFFF" w:val="clear"/>
            <w:tcMar>
              <w:top w:type="dxa" w:w="90"/>
              <w:left w:type="dxa" w:w="130"/>
              <w:bottom w:type="dxa" w:w="90"/>
              <w:right w:type="dxa" w:w="130"/>
            </w:tcMar>
          </w:tcPr>
          <w:p>
            <w:pPr>
              <w:spacing w:after="0" w:line="260"/>
            </w:pPr>
            <w:r>
              <w:rPr>
                <w:rFonts w:ascii="Inter" w:cs="Inter" w:eastAsia="Inter" w:hAnsi="Inter"/>
                <w:b w:val="false"/>
                <w:bCs w:val="false"/>
                <w:color w:val="111111"/>
                <w:sz w:val="18"/>
                <w:szCs w:val="18"/>
              </w:rPr>
              <w:t xml:space="preserve">Interna y completa. Cualquier persona de Vrutal puede leer la ficha de cualquier rol. Los permisos regulan qué se responde, no qué se puede consultar del organigrama.</w:t>
            </w:r>
          </w:p>
        </w:tc>
      </w:tr>
    </w:tbl>
    <w:p>
      <w:pPr>
        <w:pStyle w:val="Heading2"/>
        <w:spacing w:after="140" w:before="320"/>
      </w:pPr>
      <w:r>
        <w:rPr>
          <w:rFonts w:ascii="Inter" w:cs="Inter" w:eastAsia="Inter" w:hAnsi="Inter"/>
          <w:b/>
          <w:bCs/>
          <w:color w:val="111111"/>
          <w:sz w:val="24"/>
          <w:szCs w:val="24"/>
        </w:rPr>
        <w:t xml:space="preserve">La reconciliación con LAB 08, Cap. 20</w:t>
      </w:r>
    </w:p>
    <w:p>
      <w:pPr>
        <w:spacing w:after="120" w:line="300"/>
      </w:pPr>
      <w:r>
        <w:rPr>
          <w:rFonts w:ascii="Inter" w:cs="Inter" w:eastAsia="Inter" w:hAnsi="Inter"/>
          <w:color w:val="111111"/>
          <w:sz w:val="20"/>
          <w:szCs w:val="20"/>
        </w:rPr>
        <w:t xml:space="preserve">LAB 08 fija Git como fuente de verdad de todo lo versionable del tronco. La decisión de alojar las fichas en PostgreSQL y Qdrant parece contradecirlo. No lo hace, porque son tres preguntas distintas — y cada motor responde a una:</w:t>
      </w:r>
    </w:p>
    <w:tbl>
      <w:tblPr>
        <w:tblW w:type="dxa" w:w="9026"/>
        <w:tblBorders>
          <w:top w:val="single" w:color="DDDDD8" w:sz="4"/>
          <w:left w:val="single" w:color="DDDDD8" w:sz="4"/>
          <w:bottom w:val="single" w:color="DDDDD8" w:sz="4"/>
          <w:right w:val="single" w:color="DDDDD8" w:sz="4"/>
          <w:insideH w:val="single" w:color="DDDDD8" w:sz="4"/>
          <w:insideV w:val="single" w:color="DDDDD8" w:sz="4"/>
        </w:tblBorders>
      </w:tblPr>
      <w:tblGrid>
        <w:gridCol w:w="2000"/>
        <w:gridCol w:w="2600"/>
        <w:gridCol w:w="4426"/>
      </w:tblGrid>
      <w:tr>
        <w:trPr>
          <w:tblHeader/>
        </w:trPr>
        <w:tc>
          <w:tcPr>
            <w:tcW w:type="dxa" w:w="200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Motor</w:t>
            </w:r>
          </w:p>
        </w:tc>
        <w:tc>
          <w:tcPr>
            <w:tcW w:type="dxa" w:w="260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Pregunta que responde</w:t>
            </w:r>
          </w:p>
        </w:tc>
        <w:tc>
          <w:tcPr>
            <w:tcW w:type="dxa" w:w="4426"/>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Qué guarda de una ficha</w:t>
            </w:r>
          </w:p>
        </w:tc>
      </w:tr>
      <w:tr>
        <w:tc>
          <w:tcPr>
            <w:tcW w:type="dxa" w:w="20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PostgreSQL</w:t>
            </w:r>
          </w:p>
        </w:tc>
        <w:tc>
          <w:tcPr>
            <w:tcW w:type="dxa" w:w="26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¿Qué es cierto ahora?</w:t>
            </w:r>
          </w:p>
        </w:tc>
        <w:tc>
          <w:tcPr>
            <w:tcW w:type="dxa" w:w="44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El registro estructurado de cada rol: campos tipados, permisos, matriz de interlocución, competencias con nivel. Consultable, auditable, filtrable.</w:t>
            </w:r>
          </w:p>
        </w:tc>
      </w:tr>
      <w:tr>
        <w:tc>
          <w:tcPr>
            <w:tcW w:type="dxa" w:w="20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Qdrant</w:t>
            </w:r>
          </w:p>
        </w:tc>
        <w:tc>
          <w:tcPr>
            <w:tcW w:type="dxa" w:w="26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¿Qué sabíamos ya?</w:t>
            </w:r>
          </w:p>
        </w:tc>
        <w:tc>
          <w:tcPr>
            <w:tcW w:type="dxa" w:w="44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El paquete de conocimiento del rol y los aprendizajes acumulados, recuperables por relevancia semántica antes de producir cualquier pieza.</w:t>
            </w:r>
          </w:p>
        </w:tc>
      </w:tr>
      <w:tr>
        <w:tc>
          <w:tcPr>
            <w:tcW w:type="dxa" w:w="20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Git</w:t>
            </w:r>
          </w:p>
        </w:tc>
        <w:tc>
          <w:tcPr>
            <w:tcW w:type="dxa" w:w="26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¿Cuál es el molde?</w:t>
            </w:r>
          </w:p>
        </w:tc>
        <w:tc>
          <w:tcPr>
            <w:tcW w:type="dxa" w:w="44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El esquema de la ficha y esta plantilla. El molde se versiona en Git; las piezas fundidas con él viven en base de datos.</w:t>
            </w:r>
          </w:p>
        </w:tc>
      </w:tr>
    </w:tbl>
    <w:tbl>
      <w:tblPr>
        <w:tblW w:type="dxa" w:w="9026"/>
        <w:tblBorders>
          <w:top w:val="none"/>
          <w:left w:val="single" w:color="FF6A00" w:sz="18"/>
          <w:bottom w:val="none"/>
          <w:right w:val="none"/>
          <w:insideH w:val="none"/>
          <w:insideV w:val="none"/>
        </w:tblBorders>
      </w:tblPr>
      <w:tblGrid>
        <w:gridCol w:w="9026"/>
      </w:tblGrid>
      <w:tr>
        <w:tc>
          <w:tcPr>
            <w:tcW w:type="dxa" w:w="9026"/>
            <w:shd w:fill="F8F8F6" w:val="clear"/>
            <w:tcMar>
              <w:top w:type="dxa" w:w="140"/>
              <w:left w:type="dxa" w:w="200"/>
              <w:bottom w:type="dxa" w:w="140"/>
              <w:right w:type="dxa" w:w="200"/>
            </w:tcMar>
          </w:tcPr>
          <w:p>
            <w:pPr>
              <w:spacing w:after="0" w:line="300"/>
            </w:pPr>
            <w:r>
              <w:rPr>
                <w:rFonts w:ascii="Inter" w:cs="Inter" w:eastAsia="Inter" w:hAnsi="Inter"/>
                <w:b/>
                <w:bCs/>
                <w:color w:val="FF6A00"/>
                <w:sz w:val="20"/>
                <w:szCs w:val="20"/>
              </w:rPr>
              <w:t xml:space="preserve">Consecuencia no evidente. </w:t>
            </w:r>
            <w:r>
              <w:rPr>
                <w:rFonts w:ascii="Inter" w:cs="Inter" w:eastAsia="Inter" w:hAnsi="Inter"/>
                <w:color w:val="111111"/>
                <w:sz w:val="20"/>
                <w:szCs w:val="20"/>
              </w:rPr>
              <w:t xml:space="preserve">Si la ficha vive en una base de datos, sus campos dejan de ser prosa libre y pasan a ser enumeraciones tipadas. «Riesgo medio» debe ser un valor de un conjunto cerrado, no una frase. Un campo que solo se puede leer, pero no consultar, no justifica estar en PostgreSQL. El Anexo A fija el esquema.</w:t>
            </w:r>
          </w:p>
        </w:tc>
      </w:tr>
    </w:tbl>
    <w:tbl>
      <w:tblPr>
        <w:tblW w:type="dxa" w:w="9026"/>
        <w:tblBorders>
          <w:top w:val="none"/>
          <w:left w:val="single" w:color="FF6A00" w:sz="18"/>
          <w:bottom w:val="none"/>
          <w:right w:val="none"/>
          <w:insideH w:val="none"/>
          <w:insideV w:val="none"/>
        </w:tblBorders>
      </w:tblPr>
      <w:tblGrid>
        <w:gridCol w:w="9026"/>
      </w:tblGrid>
      <w:tr>
        <w:tc>
          <w:tcPr>
            <w:tcW w:type="dxa" w:w="9026"/>
            <w:shd w:fill="F8F8F6" w:val="clear"/>
            <w:tcMar>
              <w:top w:type="dxa" w:w="140"/>
              <w:left w:type="dxa" w:w="200"/>
              <w:bottom w:type="dxa" w:w="140"/>
              <w:right w:type="dxa" w:w="200"/>
            </w:tcMar>
          </w:tcPr>
          <w:p>
            <w:pPr>
              <w:spacing w:after="0" w:line="300"/>
            </w:pPr>
            <w:r>
              <w:rPr>
                <w:rFonts w:ascii="Inter" w:cs="Inter" w:eastAsia="Inter" w:hAnsi="Inter"/>
                <w:b/>
                <w:bCs/>
                <w:color w:val="FF6A00"/>
                <w:sz w:val="20"/>
                <w:szCs w:val="20"/>
              </w:rPr>
              <w:t xml:space="preserve">Segunda consecuencia, más importante. </w:t>
            </w:r>
            <w:r>
              <w:rPr>
                <w:rFonts w:ascii="Inter" w:cs="Inter" w:eastAsia="Inter" w:hAnsi="Inter"/>
                <w:color w:val="111111"/>
                <w:sz w:val="20"/>
                <w:szCs w:val="20"/>
              </w:rPr>
              <w:t xml:space="preserve">Si el conocimiento del rol se recupera de Qdrant, la clase de divulgación tiene que viajar en el payload de cada vector. El control de qué se puede decir se aplica en el momento de recuperar, no en el momento de responder. Un especialista que recupera un dato restringido y luego «decide no decirlo» ya ha fallado: ese dato nunca debió entrar en su contexto.</w:t>
            </w:r>
          </w:p>
        </w:tc>
      </w:tr>
    </w:tbl>
    <w:p>
      <w:r>
        <w:br w:type="page"/>
      </w:r>
    </w:p>
    <w:p>
      <w:pPr>
        <w:pStyle w:val="Heading1"/>
        <w:pBdr>
          <w:bottom w:val="single" w:color="FF6A00" w:sz="12" w:space="6"/>
        </w:pBdr>
        <w:spacing w:after="200" w:before="400"/>
      </w:pPr>
      <w:r>
        <w:rPr>
          <w:rFonts w:ascii="Inter" w:cs="Inter" w:eastAsia="Inter" w:hAnsi="Inter"/>
          <w:b/>
          <w:bCs/>
          <w:color w:val="111111"/>
          <w:sz w:val="30"/>
          <w:szCs w:val="30"/>
        </w:rPr>
        <w:t xml:space="preserve">I · La ficha — 22 campos en cuatro bloques</w:t>
      </w:r>
    </w:p>
    <w:p>
      <w:pPr>
        <w:spacing w:after="120" w:line="300"/>
      </w:pPr>
      <w:r>
        <w:rPr>
          <w:rFonts w:ascii="Inter" w:cs="Inter" w:eastAsia="Inter" w:hAnsi="Inter"/>
          <w:color w:val="111111"/>
          <w:sz w:val="20"/>
          <w:szCs w:val="20"/>
        </w:rPr>
        <w:t xml:space="preserve">El orden de los bloques no es alfabético ni estético: es la secuencia real de diseño. Primero quién es, después qué puede hacer, después con qué habla, y al final si sabe hacerlo y si compensa su coste. Los diez campos heredados de LAB 07, Cap. 2 conservan nombre y significado exactos.</w:t>
      </w:r>
    </w:p>
    <w:tbl>
      <w:tblPr>
        <w:tblW w:type="dxa" w:w="9026"/>
        <w:tblBorders>
          <w:top w:val="none"/>
          <w:left w:val="single" w:color="FF6A00" w:sz="18"/>
          <w:bottom w:val="none"/>
          <w:right w:val="none"/>
          <w:insideH w:val="none"/>
          <w:insideV w:val="none"/>
        </w:tblBorders>
      </w:tblPr>
      <w:tblGrid>
        <w:gridCol w:w="9026"/>
      </w:tblGrid>
      <w:tr>
        <w:tc>
          <w:tcPr>
            <w:tcW w:type="dxa" w:w="9026"/>
            <w:shd w:fill="F8F8F6" w:val="clear"/>
            <w:tcMar>
              <w:top w:type="dxa" w:w="140"/>
              <w:left w:type="dxa" w:w="200"/>
              <w:bottom w:type="dxa" w:w="140"/>
              <w:right w:type="dxa" w:w="200"/>
            </w:tcMar>
          </w:tcPr>
          <w:p>
            <w:pPr>
              <w:spacing w:after="0" w:line="300"/>
            </w:pPr>
            <w:r>
              <w:rPr>
                <w:rFonts w:ascii="Inter" w:cs="Inter" w:eastAsia="Inter" w:hAnsi="Inter"/>
                <w:b/>
                <w:bCs/>
                <w:color w:val="FF6A00"/>
                <w:sz w:val="20"/>
                <w:szCs w:val="20"/>
              </w:rPr>
              <w:t xml:space="preserve">Techo de coste. </w:t>
            </w:r>
            <w:r>
              <w:rPr>
                <w:rFonts w:ascii="Inter" w:cs="Inter" w:eastAsia="Inter" w:hAnsi="Inter"/>
                <w:color w:val="111111"/>
                <w:sz w:val="20"/>
                <w:szCs w:val="20"/>
              </w:rPr>
              <w:t xml:space="preserve">Rellenar una ficha completa debe costar menos de 90 minutos. Si cuesta más, el rol está mal delimitado — no la plantilla mal diseñada.</w:t>
            </w:r>
          </w:p>
        </w:tc>
      </w:tr>
    </w:tbl>
    <w:p>
      <w:pPr>
        <w:pStyle w:val="Heading2"/>
        <w:spacing w:after="140" w:before="320"/>
      </w:pPr>
      <w:r>
        <w:rPr>
          <w:rFonts w:ascii="Inter" w:cs="Inter" w:eastAsia="Inter" w:hAnsi="Inter"/>
          <w:b/>
          <w:bCs/>
          <w:color w:val="111111"/>
          <w:sz w:val="24"/>
          <w:szCs w:val="24"/>
        </w:rPr>
        <w:t xml:space="preserve">Bloque A · Identidad — quién es</w:t>
      </w:r>
    </w:p>
    <w:tbl>
      <w:tblPr>
        <w:tblW w:type="dxa" w:w="9026"/>
        <w:tblBorders>
          <w:top w:val="single" w:color="DDDDD8" w:sz="4"/>
          <w:left w:val="single" w:color="DDDDD8" w:sz="4"/>
          <w:bottom w:val="single" w:color="DDDDD8" w:sz="4"/>
          <w:right w:val="single" w:color="DDDDD8" w:sz="4"/>
          <w:insideH w:val="single" w:color="DDDDD8" w:sz="4"/>
          <w:insideV w:val="single" w:color="DDDDD8" w:sz="4"/>
        </w:tblBorders>
      </w:tblPr>
      <w:tblGrid>
        <w:gridCol w:w="700"/>
        <w:gridCol w:w="2300"/>
        <w:gridCol w:w="4400"/>
        <w:gridCol w:w="1626"/>
      </w:tblGrid>
      <w:tr>
        <w:trPr>
          <w:tblHeader/>
        </w:trPr>
        <w:tc>
          <w:tcPr>
            <w:tcW w:type="dxa" w:w="70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w:t>
            </w:r>
          </w:p>
        </w:tc>
        <w:tc>
          <w:tcPr>
            <w:tcW w:type="dxa" w:w="230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Campo</w:t>
            </w:r>
          </w:p>
        </w:tc>
        <w:tc>
          <w:tcPr>
            <w:tcW w:type="dxa" w:w="440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Qué se escribe</w:t>
            </w:r>
          </w:p>
        </w:tc>
        <w:tc>
          <w:tcPr>
            <w:tcW w:type="dxa" w:w="1626"/>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Origen</w:t>
            </w:r>
          </w:p>
        </w:tc>
      </w:tr>
      <w:tr>
        <w:tc>
          <w:tcPr>
            <w:tcW w:type="dxa" w:w="7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A1</w:t>
            </w:r>
          </w:p>
        </w:tc>
        <w:tc>
          <w:tcPr>
            <w:tcW w:type="dxa" w:w="23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ID de rol</w:t>
            </w:r>
          </w:p>
        </w:tc>
        <w:tc>
          <w:tcPr>
            <w:tcW w:type="dxa" w:w="44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Código estable [LÍNEA]-[NIVEL]-[NN]. Ej.: MKT-EJE-01. No cambia aunque cambie el nombre del rol.</w:t>
            </w:r>
          </w:p>
        </w:tc>
        <w:tc>
          <w:tcPr>
            <w:tcW w:type="dxa" w:w="1626"/>
            <w:shd w:fill="FFFFFF" w:val="clear"/>
            <w:tcMar>
              <w:top w:type="dxa" w:w="90"/>
              <w:left w:type="dxa" w:w="130"/>
              <w:bottom w:type="dxa" w:w="90"/>
              <w:right w:type="dxa" w:w="130"/>
            </w:tcMar>
          </w:tcPr>
          <w:p>
            <w:pPr>
              <w:spacing w:after="0" w:line="260"/>
            </w:pPr>
            <w:r>
              <w:rPr>
                <w:rFonts w:ascii="Inter" w:cs="Inter" w:eastAsia="Inter" w:hAnsi="Inter"/>
                <w:color w:val="FF6A00"/>
                <w:sz w:val="18"/>
                <w:szCs w:val="18"/>
              </w:rPr>
              <w:t xml:space="preserve">Nuevo</w:t>
            </w:r>
          </w:p>
        </w:tc>
      </w:tr>
      <w:tr>
        <w:tc>
          <w:tcPr>
            <w:tcW w:type="dxa" w:w="7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A2</w:t>
            </w:r>
          </w:p>
        </w:tc>
        <w:tc>
          <w:tcPr>
            <w:tcW w:type="dxa" w:w="23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Rol</w:t>
            </w:r>
          </w:p>
        </w:tc>
        <w:tc>
          <w:tcPr>
            <w:tcW w:type="dxa" w:w="44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Nombre exacto tal y como aparece en el organigrama.</w:t>
            </w:r>
          </w:p>
        </w:tc>
        <w:tc>
          <w:tcPr>
            <w:tcW w:type="dxa" w:w="16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LAB 07 · 2</w:t>
            </w:r>
          </w:p>
        </w:tc>
      </w:tr>
      <w:tr>
        <w:tc>
          <w:tcPr>
            <w:tcW w:type="dxa" w:w="7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A3</w:t>
            </w:r>
          </w:p>
        </w:tc>
        <w:tc>
          <w:tcPr>
            <w:tcW w:type="dxa" w:w="23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Naturaleza</w:t>
            </w:r>
          </w:p>
        </w:tc>
        <w:tc>
          <w:tcPr>
            <w:tcW w:type="dxa" w:w="44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Persona / Especialista de IA / Híbrido (persona con especialista asignado).</w:t>
            </w:r>
          </w:p>
        </w:tc>
        <w:tc>
          <w:tcPr>
            <w:tcW w:type="dxa" w:w="1626"/>
            <w:shd w:fill="FFFFFF" w:val="clear"/>
            <w:tcMar>
              <w:top w:type="dxa" w:w="90"/>
              <w:left w:type="dxa" w:w="130"/>
              <w:bottom w:type="dxa" w:w="90"/>
              <w:right w:type="dxa" w:w="130"/>
            </w:tcMar>
          </w:tcPr>
          <w:p>
            <w:pPr>
              <w:spacing w:after="0" w:line="260"/>
            </w:pPr>
            <w:r>
              <w:rPr>
                <w:rFonts w:ascii="Inter" w:cs="Inter" w:eastAsia="Inter" w:hAnsi="Inter"/>
                <w:color w:val="FF6A00"/>
                <w:sz w:val="18"/>
                <w:szCs w:val="18"/>
              </w:rPr>
              <w:t xml:space="preserve">Nuevo</w:t>
            </w:r>
          </w:p>
        </w:tc>
      </w:tr>
      <w:tr>
        <w:tc>
          <w:tcPr>
            <w:tcW w:type="dxa" w:w="7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A4</w:t>
            </w:r>
          </w:p>
        </w:tc>
        <w:tc>
          <w:tcPr>
            <w:tcW w:type="dxa" w:w="23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Misión</w:t>
            </w:r>
          </w:p>
        </w:tc>
        <w:tc>
          <w:tcPr>
            <w:tcW w:type="dxa" w:w="44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Una frase, en voz de marca. No una lista de tareas.</w:t>
            </w:r>
          </w:p>
        </w:tc>
        <w:tc>
          <w:tcPr>
            <w:tcW w:type="dxa" w:w="16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LAB 07 · 2</w:t>
            </w:r>
          </w:p>
        </w:tc>
      </w:tr>
      <w:tr>
        <w:tc>
          <w:tcPr>
            <w:tcW w:type="dxa" w:w="7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A5</w:t>
            </w:r>
          </w:p>
        </w:tc>
        <w:tc>
          <w:tcPr>
            <w:tcW w:type="dxa" w:w="23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Posición</w:t>
            </w:r>
          </w:p>
        </w:tc>
        <w:tc>
          <w:tcPr>
            <w:tcW w:type="dxa" w:w="44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A quién reporta · quién le reporta · con quién hace sinapsis directa. Los tres vectores, siempre.</w:t>
            </w:r>
          </w:p>
        </w:tc>
        <w:tc>
          <w:tcPr>
            <w:tcW w:type="dxa" w:w="16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LAB 07 · 2–3</w:t>
            </w:r>
          </w:p>
        </w:tc>
      </w:tr>
      <w:tr>
        <w:tc>
          <w:tcPr>
            <w:tcW w:type="dxa" w:w="7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A6</w:t>
            </w:r>
          </w:p>
        </w:tc>
        <w:tc>
          <w:tcPr>
            <w:tcW w:type="dxa" w:w="23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Propietario de la ficha</w:t>
            </w:r>
          </w:p>
        </w:tc>
        <w:tc>
          <w:tcPr>
            <w:tcW w:type="dxa" w:w="44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La persona que responde por que esta ficha siga siendo cierta. Nunca un equipo.</w:t>
            </w:r>
          </w:p>
        </w:tc>
        <w:tc>
          <w:tcPr>
            <w:tcW w:type="dxa" w:w="1626"/>
            <w:shd w:fill="FFFFFF" w:val="clear"/>
            <w:tcMar>
              <w:top w:type="dxa" w:w="90"/>
              <w:left w:type="dxa" w:w="130"/>
              <w:bottom w:type="dxa" w:w="90"/>
              <w:right w:type="dxa" w:w="130"/>
            </w:tcMar>
          </w:tcPr>
          <w:p>
            <w:pPr>
              <w:spacing w:after="0" w:line="260"/>
            </w:pPr>
            <w:r>
              <w:rPr>
                <w:rFonts w:ascii="Inter" w:cs="Inter" w:eastAsia="Inter" w:hAnsi="Inter"/>
                <w:color w:val="FF6A00"/>
                <w:sz w:val="18"/>
                <w:szCs w:val="18"/>
              </w:rPr>
              <w:t xml:space="preserve">Nuevo</w:t>
            </w:r>
          </w:p>
        </w:tc>
      </w:tr>
    </w:tbl>
    <w:tbl>
      <w:tblPr>
        <w:tblW w:type="dxa" w:w="9026"/>
        <w:tblBorders>
          <w:top w:val="none"/>
          <w:left w:val="single" w:color="FF6A00" w:sz="18"/>
          <w:bottom w:val="none"/>
          <w:right w:val="none"/>
          <w:insideH w:val="none"/>
          <w:insideV w:val="none"/>
        </w:tblBorders>
      </w:tblPr>
      <w:tblGrid>
        <w:gridCol w:w="9026"/>
      </w:tblGrid>
      <w:tr>
        <w:tc>
          <w:tcPr>
            <w:tcW w:type="dxa" w:w="9026"/>
            <w:shd w:fill="F8F8F6" w:val="clear"/>
            <w:tcMar>
              <w:top w:type="dxa" w:w="140"/>
              <w:left w:type="dxa" w:w="200"/>
              <w:bottom w:type="dxa" w:w="140"/>
              <w:right w:type="dxa" w:w="200"/>
            </w:tcMar>
          </w:tcPr>
          <w:p>
            <w:pPr>
              <w:spacing w:after="0" w:line="300"/>
            </w:pPr>
            <w:r>
              <w:rPr>
                <w:rFonts w:ascii="Inter" w:cs="Inter" w:eastAsia="Inter" w:hAnsi="Inter"/>
                <w:b/>
                <w:bCs/>
                <w:color w:val="FF6A00"/>
                <w:sz w:val="20"/>
                <w:szCs w:val="20"/>
              </w:rPr>
              <w:t xml:space="preserve">Regla A5. </w:t>
            </w:r>
            <w:r>
              <w:rPr>
                <w:rFonts w:ascii="Inter" w:cs="Inter" w:eastAsia="Inter" w:hAnsi="Inter"/>
                <w:color w:val="111111"/>
                <w:sz w:val="20"/>
                <w:szCs w:val="20"/>
              </w:rPr>
              <w:t xml:space="preserve">«Reporta a» y «hace sinapsis con» no son sinónimos. Reportar es escalar una decisión. Sinapsis es intercambiar información sin escalar. Confundirlos es la causa número uno de un organigrama que en el papel tiene tres niveles y en la práctica tiene uno.</w:t>
            </w:r>
          </w:p>
        </w:tc>
      </w:tr>
    </w:tbl>
    <w:p>
      <w:pPr>
        <w:pStyle w:val="Heading2"/>
        <w:spacing w:after="140" w:before="320"/>
      </w:pPr>
      <w:r>
        <w:rPr>
          <w:rFonts w:ascii="Inter" w:cs="Inter" w:eastAsia="Inter" w:hAnsi="Inter"/>
          <w:b/>
          <w:bCs/>
          <w:color w:val="111111"/>
          <w:sz w:val="24"/>
          <w:szCs w:val="24"/>
        </w:rPr>
        <w:t xml:space="preserve">Bloque B · Autoridad — qué puede hacer y ante quién</w:t>
      </w:r>
    </w:p>
    <w:tbl>
      <w:tblPr>
        <w:tblW w:type="dxa" w:w="9026"/>
        <w:tblBorders>
          <w:top w:val="single" w:color="DDDDD8" w:sz="4"/>
          <w:left w:val="single" w:color="DDDDD8" w:sz="4"/>
          <w:bottom w:val="single" w:color="DDDDD8" w:sz="4"/>
          <w:right w:val="single" w:color="DDDDD8" w:sz="4"/>
          <w:insideH w:val="single" w:color="DDDDD8" w:sz="4"/>
          <w:insideV w:val="single" w:color="DDDDD8" w:sz="4"/>
        </w:tblBorders>
      </w:tblPr>
      <w:tblGrid>
        <w:gridCol w:w="700"/>
        <w:gridCol w:w="2300"/>
        <w:gridCol w:w="4400"/>
        <w:gridCol w:w="1626"/>
      </w:tblGrid>
      <w:tr>
        <w:trPr>
          <w:tblHeader/>
        </w:trPr>
        <w:tc>
          <w:tcPr>
            <w:tcW w:type="dxa" w:w="70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w:t>
            </w:r>
          </w:p>
        </w:tc>
        <w:tc>
          <w:tcPr>
            <w:tcW w:type="dxa" w:w="230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Campo</w:t>
            </w:r>
          </w:p>
        </w:tc>
        <w:tc>
          <w:tcPr>
            <w:tcW w:type="dxa" w:w="440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Qué se escribe</w:t>
            </w:r>
          </w:p>
        </w:tc>
        <w:tc>
          <w:tcPr>
            <w:tcW w:type="dxa" w:w="1626"/>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Origen</w:t>
            </w:r>
          </w:p>
        </w:tc>
      </w:tr>
      <w:tr>
        <w:tc>
          <w:tcPr>
            <w:tcW w:type="dxa" w:w="7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B1</w:t>
            </w:r>
          </w:p>
        </w:tc>
        <w:tc>
          <w:tcPr>
            <w:tcW w:type="dxa" w:w="23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Alcance autónomo</w:t>
            </w:r>
          </w:p>
        </w:tc>
        <w:tc>
          <w:tcPr>
            <w:tcW w:type="dxa" w:w="44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Qué decide y ejecuta sin pedir permiso.</w:t>
            </w:r>
          </w:p>
        </w:tc>
        <w:tc>
          <w:tcPr>
            <w:tcW w:type="dxa" w:w="16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LAB 07 · 2</w:t>
            </w:r>
          </w:p>
        </w:tc>
      </w:tr>
      <w:tr>
        <w:tc>
          <w:tcPr>
            <w:tcW w:type="dxa" w:w="7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B2</w:t>
            </w:r>
          </w:p>
        </w:tc>
        <w:tc>
          <w:tcPr>
            <w:tcW w:type="dxa" w:w="23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Requiere aprobación</w:t>
            </w:r>
          </w:p>
        </w:tc>
        <w:tc>
          <w:tcPr>
            <w:tcW w:type="dxa" w:w="44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Qué propone pero no ejecuta sin confirmación — y de quién exactamente.</w:t>
            </w:r>
          </w:p>
        </w:tc>
        <w:tc>
          <w:tcPr>
            <w:tcW w:type="dxa" w:w="16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LAB 08 · 17</w:t>
            </w:r>
          </w:p>
        </w:tc>
      </w:tr>
      <w:tr>
        <w:tc>
          <w:tcPr>
            <w:tcW w:type="dxa" w:w="7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B3</w:t>
            </w:r>
          </w:p>
        </w:tc>
        <w:tc>
          <w:tcPr>
            <w:tcW w:type="dxa" w:w="23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Nunca hace</w:t>
            </w:r>
          </w:p>
        </w:tc>
        <w:tc>
          <w:tcPr>
            <w:tcW w:type="dxa" w:w="44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El límite duro específico de este rol, además del Playbook general.</w:t>
            </w:r>
          </w:p>
        </w:tc>
        <w:tc>
          <w:tcPr>
            <w:tcW w:type="dxa" w:w="16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LAB 07 · 1</w:t>
            </w:r>
          </w:p>
        </w:tc>
      </w:tr>
      <w:tr>
        <w:tc>
          <w:tcPr>
            <w:tcW w:type="dxa" w:w="7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B4</w:t>
            </w:r>
          </w:p>
        </w:tc>
        <w:tc>
          <w:tcPr>
            <w:tcW w:type="dxa" w:w="23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Nivel de divulgación máximo</w:t>
            </w:r>
          </w:p>
        </w:tc>
        <w:tc>
          <w:tcPr>
            <w:tcW w:type="dxa" w:w="44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D1 / D2 / D3 / D4. La clase más alta de información que este rol puede emitir. Ver Parte II.</w:t>
            </w:r>
          </w:p>
        </w:tc>
        <w:tc>
          <w:tcPr>
            <w:tcW w:type="dxa" w:w="1626"/>
            <w:shd w:fill="FFFFFF" w:val="clear"/>
            <w:tcMar>
              <w:top w:type="dxa" w:w="90"/>
              <w:left w:type="dxa" w:w="130"/>
              <w:bottom w:type="dxa" w:w="90"/>
              <w:right w:type="dxa" w:w="130"/>
            </w:tcMar>
          </w:tcPr>
          <w:p>
            <w:pPr>
              <w:spacing w:after="0" w:line="260"/>
            </w:pPr>
            <w:r>
              <w:rPr>
                <w:rFonts w:ascii="Inter" w:cs="Inter" w:eastAsia="Inter" w:hAnsi="Inter"/>
                <w:color w:val="FF6A00"/>
                <w:sz w:val="18"/>
                <w:szCs w:val="18"/>
              </w:rPr>
              <w:t xml:space="preserve">Nuevo</w:t>
            </w:r>
          </w:p>
        </w:tc>
      </w:tr>
      <w:tr>
        <w:tc>
          <w:tcPr>
            <w:tcW w:type="dxa" w:w="7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B5</w:t>
            </w:r>
          </w:p>
        </w:tc>
        <w:tc>
          <w:tcPr>
            <w:tcW w:type="dxa" w:w="23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Matriz de interlocución</w:t>
            </w:r>
          </w:p>
        </w:tc>
        <w:tc>
          <w:tcPr>
            <w:tcW w:type="dxa" w:w="44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A qué audiencia contesta a qué nivel. Se hereda la matriz por defecto y se estrecha si procede.</w:t>
            </w:r>
          </w:p>
        </w:tc>
        <w:tc>
          <w:tcPr>
            <w:tcW w:type="dxa" w:w="1626"/>
            <w:shd w:fill="FFFFFF" w:val="clear"/>
            <w:tcMar>
              <w:top w:type="dxa" w:w="90"/>
              <w:left w:type="dxa" w:w="130"/>
              <w:bottom w:type="dxa" w:w="90"/>
              <w:right w:type="dxa" w:w="130"/>
            </w:tcMar>
          </w:tcPr>
          <w:p>
            <w:pPr>
              <w:spacing w:after="0" w:line="260"/>
            </w:pPr>
            <w:r>
              <w:rPr>
                <w:rFonts w:ascii="Inter" w:cs="Inter" w:eastAsia="Inter" w:hAnsi="Inter"/>
                <w:color w:val="FF6A00"/>
                <w:sz w:val="18"/>
                <w:szCs w:val="18"/>
              </w:rPr>
              <w:t xml:space="preserve">Nuevo</w:t>
            </w:r>
          </w:p>
        </w:tc>
      </w:tr>
      <w:tr>
        <w:tc>
          <w:tcPr>
            <w:tcW w:type="dxa" w:w="7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B6</w:t>
            </w:r>
          </w:p>
        </w:tc>
        <w:tc>
          <w:tcPr>
            <w:tcW w:type="dxa" w:w="23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Permisos de escritura</w:t>
            </w:r>
          </w:p>
        </w:tc>
        <w:tc>
          <w:tcPr>
            <w:tcW w:type="dxa" w:w="44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Nivel W0–W4 declarado por cada sistema de C1. Ver Parte III.</w:t>
            </w:r>
          </w:p>
        </w:tc>
        <w:tc>
          <w:tcPr>
            <w:tcW w:type="dxa" w:w="1626"/>
            <w:shd w:fill="FFFFFF" w:val="clear"/>
            <w:tcMar>
              <w:top w:type="dxa" w:w="90"/>
              <w:left w:type="dxa" w:w="130"/>
              <w:bottom w:type="dxa" w:w="90"/>
              <w:right w:type="dxa" w:w="130"/>
            </w:tcMar>
          </w:tcPr>
          <w:p>
            <w:pPr>
              <w:spacing w:after="0" w:line="260"/>
            </w:pPr>
            <w:r>
              <w:rPr>
                <w:rFonts w:ascii="Inter" w:cs="Inter" w:eastAsia="Inter" w:hAnsi="Inter"/>
                <w:color w:val="FF6A00"/>
                <w:sz w:val="18"/>
                <w:szCs w:val="18"/>
              </w:rPr>
              <w:t xml:space="preserve">Nuevo</w:t>
            </w:r>
          </w:p>
        </w:tc>
      </w:tr>
      <w:tr>
        <w:tc>
          <w:tcPr>
            <w:tcW w:type="dxa" w:w="7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B7</w:t>
            </w:r>
          </w:p>
        </w:tc>
        <w:tc>
          <w:tcPr>
            <w:tcW w:type="dxa" w:w="23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Autoridad económica</w:t>
            </w:r>
          </w:p>
        </w:tc>
        <w:tc>
          <w:tcPr>
            <w:tcW w:type="dxa" w:w="44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Techo de gasto en euros sin firma. «0 €» es una respuesta válida y es el valor por defecto.</w:t>
            </w:r>
          </w:p>
        </w:tc>
        <w:tc>
          <w:tcPr>
            <w:tcW w:type="dxa" w:w="16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LAB 08 · 13</w:t>
            </w:r>
          </w:p>
        </w:tc>
      </w:tr>
    </w:tbl>
    <w:tbl>
      <w:tblPr>
        <w:tblW w:type="dxa" w:w="9026"/>
        <w:tblBorders>
          <w:top w:val="none"/>
          <w:left w:val="single" w:color="FF6A00" w:sz="18"/>
          <w:bottom w:val="none"/>
          <w:right w:val="none"/>
          <w:insideH w:val="none"/>
          <w:insideV w:val="none"/>
        </w:tblBorders>
      </w:tblPr>
      <w:tblGrid>
        <w:gridCol w:w="9026"/>
      </w:tblGrid>
      <w:tr>
        <w:tc>
          <w:tcPr>
            <w:tcW w:type="dxa" w:w="9026"/>
            <w:shd w:fill="F8F8F6" w:val="clear"/>
            <w:tcMar>
              <w:top w:type="dxa" w:w="140"/>
              <w:left w:type="dxa" w:w="200"/>
              <w:bottom w:type="dxa" w:w="140"/>
              <w:right w:type="dxa" w:w="200"/>
            </w:tcMar>
          </w:tcPr>
          <w:p>
            <w:pPr>
              <w:spacing w:after="0" w:line="300"/>
            </w:pPr>
            <w:r>
              <w:rPr>
                <w:rFonts w:ascii="Inter" w:cs="Inter" w:eastAsia="Inter" w:hAnsi="Inter"/>
                <w:b/>
                <w:bCs/>
                <w:color w:val="FF6A00"/>
                <w:sz w:val="20"/>
                <w:szCs w:val="20"/>
              </w:rPr>
              <w:t xml:space="preserve">Regla B1, heredada y no negociable. </w:t>
            </w:r>
            <w:r>
              <w:rPr>
                <w:rFonts w:ascii="Inter" w:cs="Inter" w:eastAsia="Inter" w:hAnsi="Inter"/>
                <w:color w:val="111111"/>
                <w:sz w:val="20"/>
                <w:szCs w:val="20"/>
              </w:rPr>
              <w:t xml:space="preserve">El alcance autónomo se calibra por coste del error, no por importancia percibida del área. Un rol que concilia pagos tendrá menos alcance que uno que redacta un borrador — no porque finanzas importe más, sino porque el error es más caro y menos reversible.</w:t>
            </w:r>
          </w:p>
        </w:tc>
      </w:tr>
    </w:tbl>
    <w:tbl>
      <w:tblPr>
        <w:tblW w:type="dxa" w:w="9026"/>
        <w:tblBorders>
          <w:top w:val="none"/>
          <w:left w:val="single" w:color="FF6A00" w:sz="18"/>
          <w:bottom w:val="none"/>
          <w:right w:val="none"/>
          <w:insideH w:val="none"/>
          <w:insideV w:val="none"/>
        </w:tblBorders>
      </w:tblPr>
      <w:tblGrid>
        <w:gridCol w:w="9026"/>
      </w:tblGrid>
      <w:tr>
        <w:tc>
          <w:tcPr>
            <w:tcW w:type="dxa" w:w="9026"/>
            <w:shd w:fill="F8F8F6" w:val="clear"/>
            <w:tcMar>
              <w:top w:type="dxa" w:w="140"/>
              <w:left w:type="dxa" w:w="200"/>
              <w:bottom w:type="dxa" w:w="140"/>
              <w:right w:type="dxa" w:w="200"/>
            </w:tcMar>
          </w:tcPr>
          <w:p>
            <w:pPr>
              <w:spacing w:after="0" w:line="300"/>
            </w:pPr>
            <w:r>
              <w:rPr>
                <w:rFonts w:ascii="Inter" w:cs="Inter" w:eastAsia="Inter" w:hAnsi="Inter"/>
                <w:b/>
                <w:bCs/>
                <w:color w:val="FF6A00"/>
                <w:sz w:val="20"/>
                <w:szCs w:val="20"/>
              </w:rPr>
              <w:t xml:space="preserve">Regla B4. </w:t>
            </w:r>
            <w:r>
              <w:rPr>
                <w:rFonts w:ascii="Inter" w:cs="Inter" w:eastAsia="Inter" w:hAnsi="Inter"/>
                <w:color w:val="111111"/>
                <w:sz w:val="20"/>
                <w:szCs w:val="20"/>
              </w:rPr>
              <w:t xml:space="preserve">El nivel de divulgación de un rol nunca supera al de su manager. La información baja por la jerarquía; no sube por acceso técnico. Que un especialista pueda leer un dato no significa que pueda decirlo.</w:t>
            </w:r>
          </w:p>
        </w:tc>
      </w:tr>
    </w:tbl>
    <w:p>
      <w:pPr>
        <w:pStyle w:val="Heading2"/>
        <w:spacing w:after="140" w:before="320"/>
      </w:pPr>
      <w:r>
        <w:rPr>
          <w:rFonts w:ascii="Inter" w:cs="Inter" w:eastAsia="Inter" w:hAnsi="Inter"/>
          <w:b/>
          <w:bCs/>
          <w:color w:val="111111"/>
          <w:sz w:val="24"/>
          <w:szCs w:val="24"/>
        </w:rPr>
        <w:t xml:space="preserve">Bloque C · Conexión — con qué y con quién habla</w:t>
      </w:r>
    </w:p>
    <w:tbl>
      <w:tblPr>
        <w:tblW w:type="dxa" w:w="9026"/>
        <w:tblBorders>
          <w:top w:val="single" w:color="DDDDD8" w:sz="4"/>
          <w:left w:val="single" w:color="DDDDD8" w:sz="4"/>
          <w:bottom w:val="single" w:color="DDDDD8" w:sz="4"/>
          <w:right w:val="single" w:color="DDDDD8" w:sz="4"/>
          <w:insideH w:val="single" w:color="DDDDD8" w:sz="4"/>
          <w:insideV w:val="single" w:color="DDDDD8" w:sz="4"/>
        </w:tblBorders>
      </w:tblPr>
      <w:tblGrid>
        <w:gridCol w:w="700"/>
        <w:gridCol w:w="2300"/>
        <w:gridCol w:w="4400"/>
        <w:gridCol w:w="1626"/>
      </w:tblGrid>
      <w:tr>
        <w:trPr>
          <w:tblHeader/>
        </w:trPr>
        <w:tc>
          <w:tcPr>
            <w:tcW w:type="dxa" w:w="70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w:t>
            </w:r>
          </w:p>
        </w:tc>
        <w:tc>
          <w:tcPr>
            <w:tcW w:type="dxa" w:w="230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Campo</w:t>
            </w:r>
          </w:p>
        </w:tc>
        <w:tc>
          <w:tcPr>
            <w:tcW w:type="dxa" w:w="440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Qué se escribe</w:t>
            </w:r>
          </w:p>
        </w:tc>
        <w:tc>
          <w:tcPr>
            <w:tcW w:type="dxa" w:w="1626"/>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Origen</w:t>
            </w:r>
          </w:p>
        </w:tc>
      </w:tr>
      <w:tr>
        <w:tc>
          <w:tcPr>
            <w:tcW w:type="dxa" w:w="7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C1</w:t>
            </w:r>
          </w:p>
        </w:tc>
        <w:tc>
          <w:tcPr>
            <w:tcW w:type="dxa" w:w="23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Herramientas e integraciones</w:t>
            </w:r>
          </w:p>
        </w:tc>
        <w:tc>
          <w:tcPr>
            <w:tcW w:type="dxa" w:w="44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Qué sistemas del tronco toca, vía n8n. Nunca inventa infraestructura nueva: selecciona de lo existente.</w:t>
            </w:r>
          </w:p>
        </w:tc>
        <w:tc>
          <w:tcPr>
            <w:tcW w:type="dxa" w:w="16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LAB 08 · 10</w:t>
            </w:r>
          </w:p>
        </w:tc>
      </w:tr>
      <w:tr>
        <w:tc>
          <w:tcPr>
            <w:tcW w:type="dxa" w:w="7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C2</w:t>
            </w:r>
          </w:p>
        </w:tc>
        <w:tc>
          <w:tcPr>
            <w:tcW w:type="dxa" w:w="23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Memoria</w:t>
            </w:r>
          </w:p>
        </w:tc>
        <w:tc>
          <w:tcPr>
            <w:tcW w:type="dxa" w:w="44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Qué recuerda y de dónde lo recupera. PostgreSQL para lo cierto ahora; Qdrant para lo ya sabido.</w:t>
            </w:r>
          </w:p>
        </w:tc>
        <w:tc>
          <w:tcPr>
            <w:tcW w:type="dxa" w:w="16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LAB 08 · 8</w:t>
            </w:r>
          </w:p>
        </w:tc>
      </w:tr>
      <w:tr>
        <w:tc>
          <w:tcPr>
            <w:tcW w:type="dxa" w:w="7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C3</w:t>
            </w:r>
          </w:p>
        </w:tc>
        <w:tc>
          <w:tcPr>
            <w:tcW w:type="dxa" w:w="23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Canales de comunicación</w:t>
            </w:r>
          </w:p>
        </w:tc>
        <w:tc>
          <w:tcPr>
            <w:tcW w:type="dxa" w:w="44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Tabla de canales con dirección, interlocutor, qué se trata y qué nunca se trata ahí.</w:t>
            </w:r>
          </w:p>
        </w:tc>
        <w:tc>
          <w:tcPr>
            <w:tcW w:type="dxa" w:w="1626"/>
            <w:shd w:fill="FFFFFF" w:val="clear"/>
            <w:tcMar>
              <w:top w:type="dxa" w:w="90"/>
              <w:left w:type="dxa" w:w="130"/>
              <w:bottom w:type="dxa" w:w="90"/>
              <w:right w:type="dxa" w:w="130"/>
            </w:tcMar>
          </w:tcPr>
          <w:p>
            <w:pPr>
              <w:spacing w:after="0" w:line="260"/>
            </w:pPr>
            <w:r>
              <w:rPr>
                <w:rFonts w:ascii="Inter" w:cs="Inter" w:eastAsia="Inter" w:hAnsi="Inter"/>
                <w:color w:val="FF6A00"/>
                <w:sz w:val="18"/>
                <w:szCs w:val="18"/>
              </w:rPr>
              <w:t xml:space="preserve">Nuevo</w:t>
            </w:r>
          </w:p>
        </w:tc>
      </w:tr>
      <w:tr>
        <w:tc>
          <w:tcPr>
            <w:tcW w:type="dxa" w:w="7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C4</w:t>
            </w:r>
          </w:p>
        </w:tc>
        <w:tc>
          <w:tcPr>
            <w:tcW w:type="dxa" w:w="23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Protocolo de escalado</w:t>
            </w:r>
          </w:p>
        </w:tc>
        <w:tc>
          <w:tcPr>
            <w:tcW w:type="dxa" w:w="44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Disparador exacto + destinatario + plazo. Sin los tres, no es un protocolo: es una intención.</w:t>
            </w:r>
          </w:p>
        </w:tc>
        <w:tc>
          <w:tcPr>
            <w:tcW w:type="dxa" w:w="16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LAB 07 · 3</w:t>
            </w:r>
          </w:p>
        </w:tc>
      </w:tr>
      <w:tr>
        <w:tc>
          <w:tcPr>
            <w:tcW w:type="dxa" w:w="7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C5</w:t>
            </w:r>
          </w:p>
        </w:tc>
        <w:tc>
          <w:tcPr>
            <w:tcW w:type="dxa" w:w="23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Latencia comprometida</w:t>
            </w:r>
          </w:p>
        </w:tc>
        <w:tc>
          <w:tcPr>
            <w:tcW w:type="dxa" w:w="44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Tiempo máximo de respuesta por canal. Si no hay número, no hay compromiso.</w:t>
            </w:r>
          </w:p>
        </w:tc>
        <w:tc>
          <w:tcPr>
            <w:tcW w:type="dxa" w:w="1626"/>
            <w:shd w:fill="FFFFFF" w:val="clear"/>
            <w:tcMar>
              <w:top w:type="dxa" w:w="90"/>
              <w:left w:type="dxa" w:w="130"/>
              <w:bottom w:type="dxa" w:w="90"/>
              <w:right w:type="dxa" w:w="130"/>
            </w:tcMar>
          </w:tcPr>
          <w:p>
            <w:pPr>
              <w:spacing w:after="0" w:line="260"/>
            </w:pPr>
            <w:r>
              <w:rPr>
                <w:rFonts w:ascii="Inter" w:cs="Inter" w:eastAsia="Inter" w:hAnsi="Inter"/>
                <w:color w:val="FF6A00"/>
                <w:sz w:val="18"/>
                <w:szCs w:val="18"/>
              </w:rPr>
              <w:t xml:space="preserve">Nuevo</w:t>
            </w:r>
          </w:p>
        </w:tc>
      </w:tr>
    </w:tbl>
    <w:p>
      <w:pPr>
        <w:pStyle w:val="Heading3"/>
        <w:spacing w:after="100" w:before="240"/>
      </w:pPr>
      <w:r>
        <w:rPr>
          <w:rFonts w:ascii="Inter" w:cs="Inter" w:eastAsia="Inter" w:hAnsi="Inter"/>
          <w:b/>
          <w:bCs/>
          <w:color w:val="FF6A00"/>
          <w:sz w:val="21"/>
          <w:szCs w:val="21"/>
        </w:rPr>
        <w:t xml:space="preserve">Formato obligatorio del campo C3</w:t>
      </w:r>
    </w:p>
    <w:tbl>
      <w:tblPr>
        <w:tblW w:type="dxa" w:w="9026"/>
        <w:tblBorders>
          <w:top w:val="single" w:color="DDDDD8" w:sz="4"/>
          <w:left w:val="single" w:color="DDDDD8" w:sz="4"/>
          <w:bottom w:val="single" w:color="DDDDD8" w:sz="4"/>
          <w:right w:val="single" w:color="DDDDD8" w:sz="4"/>
          <w:insideH w:val="single" w:color="DDDDD8" w:sz="4"/>
          <w:insideV w:val="single" w:color="DDDDD8" w:sz="4"/>
        </w:tblBorders>
      </w:tblPr>
      <w:tblGrid>
        <w:gridCol w:w="1450"/>
        <w:gridCol w:w="1450"/>
        <w:gridCol w:w="1400"/>
        <w:gridCol w:w="1900"/>
        <w:gridCol w:w="1676"/>
        <w:gridCol w:w="1150"/>
      </w:tblGrid>
      <w:tr>
        <w:trPr>
          <w:tblHeader/>
        </w:trPr>
        <w:tc>
          <w:tcPr>
            <w:tcW w:type="dxa" w:w="145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Canal</w:t>
            </w:r>
          </w:p>
        </w:tc>
        <w:tc>
          <w:tcPr>
            <w:tcW w:type="dxa" w:w="145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Dirección</w:t>
            </w:r>
          </w:p>
        </w:tc>
        <w:tc>
          <w:tcPr>
            <w:tcW w:type="dxa" w:w="140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Con quién</w:t>
            </w:r>
          </w:p>
        </w:tc>
        <w:tc>
          <w:tcPr>
            <w:tcW w:type="dxa" w:w="190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Qué se trata</w:t>
            </w:r>
          </w:p>
        </w:tc>
        <w:tc>
          <w:tcPr>
            <w:tcW w:type="dxa" w:w="1676"/>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Qué nunca se trata</w:t>
            </w:r>
          </w:p>
        </w:tc>
        <w:tc>
          <w:tcPr>
            <w:tcW w:type="dxa" w:w="115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Latencia</w:t>
            </w:r>
          </w:p>
        </w:tc>
      </w:tr>
      <w:tr>
        <w:tc>
          <w:tcPr>
            <w:tcW w:type="dxa" w:w="1450"/>
            <w:shd w:fill="FFFFFF" w:val="clear"/>
            <w:tcMar>
              <w:top w:type="dxa" w:w="90"/>
              <w:left w:type="dxa" w:w="130"/>
              <w:bottom w:type="dxa" w:w="90"/>
              <w:right w:type="dxa" w:w="130"/>
            </w:tcMar>
          </w:tcPr>
          <w:p>
            <w:pPr>
              <w:spacing w:after="0" w:line="260"/>
            </w:pPr>
            <w:r>
              <w:rPr>
                <w:rFonts w:ascii="Inter" w:cs="Inter" w:eastAsia="Inter" w:hAnsi="Inter"/>
                <w:i/>
                <w:iCs/>
                <w:color w:val="111111"/>
                <w:sz w:val="18"/>
                <w:szCs w:val="18"/>
              </w:rPr>
              <w:t xml:space="preserve">Ej. Dashboard</w:t>
            </w:r>
          </w:p>
        </w:tc>
        <w:tc>
          <w:tcPr>
            <w:tcW w:type="dxa" w:w="145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Salida</w:t>
            </w:r>
          </w:p>
        </w:tc>
        <w:tc>
          <w:tcPr>
            <w:tcW w:type="dxa" w:w="14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Dirección, PM</w:t>
            </w:r>
          </w:p>
        </w:tc>
        <w:tc>
          <w:tcPr>
            <w:tcW w:type="dxa" w:w="19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Métricas consolidadas</w:t>
            </w:r>
          </w:p>
        </w:tc>
        <w:tc>
          <w:tcPr>
            <w:tcW w:type="dxa" w:w="167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Dato personal identificable</w:t>
            </w:r>
          </w:p>
        </w:tc>
        <w:tc>
          <w:tcPr>
            <w:tcW w:type="dxa" w:w="115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Diaria</w:t>
            </w:r>
          </w:p>
        </w:tc>
      </w:tr>
      <w:tr>
        <w:tc>
          <w:tcPr>
            <w:tcW w:type="dxa" w:w="1450"/>
            <w:shd w:fill="FFFFFF" w:val="clear"/>
            <w:tcMar>
              <w:top w:type="dxa" w:w="90"/>
              <w:left w:type="dxa" w:w="130"/>
              <w:bottom w:type="dxa" w:w="90"/>
              <w:right w:type="dxa" w:w="130"/>
            </w:tcMar>
          </w:tcPr>
          <w:p>
            <w:pPr>
              <w:spacing w:after="0" w:line="260"/>
            </w:pPr>
            <w:r>
              <w:rPr>
                <w:rFonts w:ascii="Inter" w:cs="Inter" w:eastAsia="Inter" w:hAnsi="Inter"/>
                <w:i/>
                <w:iCs/>
                <w:color w:val="111111"/>
                <w:sz w:val="18"/>
                <w:szCs w:val="18"/>
              </w:rPr>
              <w:t xml:space="preserve">Ej. Canal de línea</w:t>
            </w:r>
          </w:p>
        </w:tc>
        <w:tc>
          <w:tcPr>
            <w:tcW w:type="dxa" w:w="145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Bidireccional</w:t>
            </w:r>
          </w:p>
        </w:tc>
        <w:tc>
          <w:tcPr>
            <w:tcW w:type="dxa" w:w="14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Manager, pares</w:t>
            </w:r>
          </w:p>
        </w:tc>
        <w:tc>
          <w:tcPr>
            <w:tcW w:type="dxa" w:w="19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Coordinación operativa</w:t>
            </w:r>
          </w:p>
        </w:tc>
        <w:tc>
          <w:tcPr>
            <w:tcW w:type="dxa" w:w="167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Pricing, márgenes</w:t>
            </w:r>
          </w:p>
        </w:tc>
        <w:tc>
          <w:tcPr>
            <w:tcW w:type="dxa" w:w="115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&lt; 4 h</w:t>
            </w:r>
          </w:p>
        </w:tc>
      </w:tr>
      <w:tr>
        <w:tc>
          <w:tcPr>
            <w:tcW w:type="dxa" w:w="1450"/>
            <w:shd w:fill="FFFFFF" w:val="clear"/>
            <w:tcMar>
              <w:top w:type="dxa" w:w="90"/>
              <w:left w:type="dxa" w:w="130"/>
              <w:bottom w:type="dxa" w:w="90"/>
              <w:right w:type="dxa" w:w="130"/>
            </w:tcMar>
          </w:tcPr>
          <w:p>
            <w:pPr>
              <w:spacing w:after="0" w:line="260"/>
            </w:pPr>
            <w:r>
              <w:rPr>
                <w:rFonts w:ascii="Inter" w:cs="Inter" w:eastAsia="Inter" w:hAnsi="Inter"/>
                <w:i/>
                <w:iCs/>
                <w:color w:val="111111"/>
                <w:sz w:val="18"/>
                <w:szCs w:val="18"/>
              </w:rPr>
              <w:t xml:space="preserve">Ej. Email externo</w:t>
            </w:r>
          </w:p>
        </w:tc>
        <w:tc>
          <w:tcPr>
            <w:tcW w:type="dxa" w:w="145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Salida</w:t>
            </w:r>
          </w:p>
        </w:tc>
        <w:tc>
          <w:tcPr>
            <w:tcW w:type="dxa" w:w="14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Terceros</w:t>
            </w:r>
          </w:p>
        </w:tc>
        <w:tc>
          <w:tcPr>
            <w:tcW w:type="dxa" w:w="19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Entregables ya aprobados</w:t>
            </w:r>
          </w:p>
        </w:tc>
        <w:tc>
          <w:tcPr>
            <w:tcW w:type="dxa" w:w="167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Cualquier pieza sin revisión</w:t>
            </w:r>
          </w:p>
        </w:tc>
        <w:tc>
          <w:tcPr>
            <w:tcW w:type="dxa" w:w="115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&lt; 24 h</w:t>
            </w:r>
          </w:p>
        </w:tc>
      </w:tr>
    </w:tbl>
    <w:tbl>
      <w:tblPr>
        <w:tblW w:type="dxa" w:w="9026"/>
        <w:tblBorders>
          <w:top w:val="none"/>
          <w:left w:val="single" w:color="FF6A00" w:sz="18"/>
          <w:bottom w:val="none"/>
          <w:right w:val="none"/>
          <w:insideH w:val="none"/>
          <w:insideV w:val="none"/>
        </w:tblBorders>
      </w:tblPr>
      <w:tblGrid>
        <w:gridCol w:w="9026"/>
      </w:tblGrid>
      <w:tr>
        <w:tc>
          <w:tcPr>
            <w:tcW w:type="dxa" w:w="9026"/>
            <w:shd w:fill="F8F8F6" w:val="clear"/>
            <w:tcMar>
              <w:top w:type="dxa" w:w="140"/>
              <w:left w:type="dxa" w:w="200"/>
              <w:bottom w:type="dxa" w:w="140"/>
              <w:right w:type="dxa" w:w="200"/>
            </w:tcMar>
          </w:tcPr>
          <w:p>
            <w:pPr>
              <w:spacing w:after="0" w:line="300"/>
            </w:pPr>
            <w:r>
              <w:rPr>
                <w:rFonts w:ascii="Inter" w:cs="Inter" w:eastAsia="Inter" w:hAnsi="Inter"/>
                <w:b/>
                <w:bCs/>
                <w:color w:val="FF6A00"/>
                <w:sz w:val="20"/>
                <w:szCs w:val="20"/>
              </w:rPr>
              <w:t xml:space="preserve">Regla C3. </w:t>
            </w:r>
            <w:r>
              <w:rPr>
                <w:rFonts w:ascii="Inter" w:cs="Inter" w:eastAsia="Inter" w:hAnsi="Inter"/>
                <w:color w:val="111111"/>
                <w:sz w:val="20"/>
                <w:szCs w:val="20"/>
              </w:rPr>
              <w:t xml:space="preserve">Un canal sin la columna «qué nunca se trata aquí» está incompleto. La filtración típica no ocurre por acceso indebido: ocurre porque se dijo lo correcto en el canal equivocado.</w:t>
            </w:r>
          </w:p>
        </w:tc>
      </w:tr>
    </w:tbl>
    <w:p>
      <w:pPr>
        <w:pStyle w:val="Heading2"/>
        <w:spacing w:after="140" w:before="320"/>
      </w:pPr>
      <w:r>
        <w:rPr>
          <w:rFonts w:ascii="Inter" w:cs="Inter" w:eastAsia="Inter" w:hAnsi="Inter"/>
          <w:b/>
          <w:bCs/>
          <w:color w:val="111111"/>
          <w:sz w:val="24"/>
          <w:szCs w:val="24"/>
        </w:rPr>
        <w:t xml:space="preserve">Bloque D · Capacidad y auditoría — si sabe hacerlo y si compensa</w:t>
      </w:r>
    </w:p>
    <w:tbl>
      <w:tblPr>
        <w:tblW w:type="dxa" w:w="9026"/>
        <w:tblBorders>
          <w:top w:val="single" w:color="DDDDD8" w:sz="4"/>
          <w:left w:val="single" w:color="DDDDD8" w:sz="4"/>
          <w:bottom w:val="single" w:color="DDDDD8" w:sz="4"/>
          <w:right w:val="single" w:color="DDDDD8" w:sz="4"/>
          <w:insideH w:val="single" w:color="DDDDD8" w:sz="4"/>
          <w:insideV w:val="single" w:color="DDDDD8" w:sz="4"/>
        </w:tblBorders>
      </w:tblPr>
      <w:tblGrid>
        <w:gridCol w:w="700"/>
        <w:gridCol w:w="2300"/>
        <w:gridCol w:w="4400"/>
        <w:gridCol w:w="1626"/>
      </w:tblGrid>
      <w:tr>
        <w:trPr>
          <w:tblHeader/>
        </w:trPr>
        <w:tc>
          <w:tcPr>
            <w:tcW w:type="dxa" w:w="70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w:t>
            </w:r>
          </w:p>
        </w:tc>
        <w:tc>
          <w:tcPr>
            <w:tcW w:type="dxa" w:w="230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Campo</w:t>
            </w:r>
          </w:p>
        </w:tc>
        <w:tc>
          <w:tcPr>
            <w:tcW w:type="dxa" w:w="440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Qué se escribe</w:t>
            </w:r>
          </w:p>
        </w:tc>
        <w:tc>
          <w:tcPr>
            <w:tcW w:type="dxa" w:w="1626"/>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Origen</w:t>
            </w:r>
          </w:p>
        </w:tc>
      </w:tr>
      <w:tr>
        <w:tc>
          <w:tcPr>
            <w:tcW w:type="dxa" w:w="7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D1</w:t>
            </w:r>
          </w:p>
        </w:tc>
        <w:tc>
          <w:tcPr>
            <w:tcW w:type="dxa" w:w="23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Competencias</w:t>
            </w:r>
          </w:p>
        </w:tc>
        <w:tc>
          <w:tcPr>
            <w:tcW w:type="dxa" w:w="44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Entre 4 y 7, con nivel N1–N4 y evidencia. Ver Parte IV.</w:t>
            </w:r>
          </w:p>
        </w:tc>
        <w:tc>
          <w:tcPr>
            <w:tcW w:type="dxa" w:w="1626"/>
            <w:shd w:fill="FFFFFF" w:val="clear"/>
            <w:tcMar>
              <w:top w:type="dxa" w:w="90"/>
              <w:left w:type="dxa" w:w="130"/>
              <w:bottom w:type="dxa" w:w="90"/>
              <w:right w:type="dxa" w:w="130"/>
            </w:tcMar>
          </w:tcPr>
          <w:p>
            <w:pPr>
              <w:spacing w:after="0" w:line="260"/>
            </w:pPr>
            <w:r>
              <w:rPr>
                <w:rFonts w:ascii="Inter" w:cs="Inter" w:eastAsia="Inter" w:hAnsi="Inter"/>
                <w:color w:val="FF6A00"/>
                <w:sz w:val="18"/>
                <w:szCs w:val="18"/>
              </w:rPr>
              <w:t xml:space="preserve">Nuevo</w:t>
            </w:r>
          </w:p>
        </w:tc>
      </w:tr>
      <w:tr>
        <w:tc>
          <w:tcPr>
            <w:tcW w:type="dxa" w:w="7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D2</w:t>
            </w:r>
          </w:p>
        </w:tc>
        <w:tc>
          <w:tcPr>
            <w:tcW w:type="dxa" w:w="23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Nivel de modelo</w:t>
            </w:r>
          </w:p>
        </w:tc>
        <w:tc>
          <w:tcPr>
            <w:tcW w:type="dxa" w:w="44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Riesgo bajo / medio / alto. Coste de razonamiento proporcional al coste del error.</w:t>
            </w:r>
          </w:p>
        </w:tc>
        <w:tc>
          <w:tcPr>
            <w:tcW w:type="dxa" w:w="16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LAB 08 · 11</w:t>
            </w:r>
          </w:p>
        </w:tc>
      </w:tr>
      <w:tr>
        <w:tc>
          <w:tcPr>
            <w:tcW w:type="dxa" w:w="7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D3</w:t>
            </w:r>
          </w:p>
        </w:tc>
        <w:tc>
          <w:tcPr>
            <w:tcW w:type="dxa" w:w="23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Paquete de conocimiento</w:t>
            </w:r>
          </w:p>
        </w:tc>
        <w:tc>
          <w:tcPr>
            <w:tcW w:type="dxa" w:w="44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Los siete bloques de wiki que debe tener antes de operar. Ver Parte V.</w:t>
            </w:r>
          </w:p>
        </w:tc>
        <w:tc>
          <w:tcPr>
            <w:tcW w:type="dxa" w:w="1626"/>
            <w:shd w:fill="FFFFFF" w:val="clear"/>
            <w:tcMar>
              <w:top w:type="dxa" w:w="90"/>
              <w:left w:type="dxa" w:w="130"/>
              <w:bottom w:type="dxa" w:w="90"/>
              <w:right w:type="dxa" w:w="130"/>
            </w:tcMar>
          </w:tcPr>
          <w:p>
            <w:pPr>
              <w:spacing w:after="0" w:line="260"/>
            </w:pPr>
            <w:r>
              <w:rPr>
                <w:rFonts w:ascii="Inter" w:cs="Inter" w:eastAsia="Inter" w:hAnsi="Inter"/>
                <w:color w:val="FF6A00"/>
                <w:sz w:val="18"/>
                <w:szCs w:val="18"/>
              </w:rPr>
              <w:t xml:space="preserve">Nuevo</w:t>
            </w:r>
          </w:p>
        </w:tc>
      </w:tr>
      <w:tr>
        <w:tc>
          <w:tcPr>
            <w:tcW w:type="dxa" w:w="7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D4</w:t>
            </w:r>
          </w:p>
        </w:tc>
        <w:tc>
          <w:tcPr>
            <w:tcW w:type="dxa" w:w="23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Métrica de éxito</w:t>
            </w:r>
          </w:p>
        </w:tc>
        <w:tc>
          <w:tcPr>
            <w:tcW w:type="dxa" w:w="44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Cómo se sabe, con un número, si este rol está funcionando.</w:t>
            </w:r>
          </w:p>
        </w:tc>
        <w:tc>
          <w:tcPr>
            <w:tcW w:type="dxa" w:w="16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LAB 08 · 16</w:t>
            </w:r>
          </w:p>
        </w:tc>
      </w:tr>
      <w:tr>
        <w:tc>
          <w:tcPr>
            <w:tcW w:type="dxa" w:w="7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D5</w:t>
            </w:r>
          </w:p>
        </w:tc>
        <w:tc>
          <w:tcPr>
            <w:tcW w:type="dxa" w:w="23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Trazabilidad</w:t>
            </w:r>
          </w:p>
        </w:tc>
        <w:tc>
          <w:tcPr>
            <w:tcW w:type="dxa" w:w="44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Qué queda registrado de su actividad, dónde, y cuánto tiempo se conserva.</w:t>
            </w:r>
          </w:p>
        </w:tc>
        <w:tc>
          <w:tcPr>
            <w:tcW w:type="dxa" w:w="16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LAB 08 · 13</w:t>
            </w:r>
          </w:p>
        </w:tc>
      </w:tr>
      <w:tr>
        <w:tc>
          <w:tcPr>
            <w:tcW w:type="dxa" w:w="7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D6</w:t>
            </w:r>
          </w:p>
        </w:tc>
        <w:tc>
          <w:tcPr>
            <w:tcW w:type="dxa" w:w="23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Disparador de revisión</w:t>
            </w:r>
          </w:p>
        </w:tc>
        <w:tc>
          <w:tcPr>
            <w:tcW w:type="dxa" w:w="44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Qué evento obliga a reabrir esta ficha. Nunca «cada trimestre».</w:t>
            </w:r>
          </w:p>
        </w:tc>
        <w:tc>
          <w:tcPr>
            <w:tcW w:type="dxa" w:w="16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LAB 08 · 21</w:t>
            </w:r>
          </w:p>
        </w:tc>
      </w:tr>
      <w:tr>
        <w:tc>
          <w:tcPr>
            <w:tcW w:type="dxa" w:w="7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D7</w:t>
            </w:r>
          </w:p>
        </w:tc>
        <w:tc>
          <w:tcPr>
            <w:tcW w:type="dxa" w:w="23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Registro de versiones</w:t>
            </w:r>
          </w:p>
        </w:tc>
        <w:tc>
          <w:tcPr>
            <w:tcW w:type="dxa" w:w="44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Versión · fecha · alcance · motivo. El motivo es obligatorio, no decorativo.</w:t>
            </w:r>
          </w:p>
        </w:tc>
        <w:tc>
          <w:tcPr>
            <w:tcW w:type="dxa" w:w="16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LAB 08 · 20</w:t>
            </w:r>
          </w:p>
        </w:tc>
      </w:tr>
    </w:tbl>
    <w:tbl>
      <w:tblPr>
        <w:tblW w:type="dxa" w:w="9026"/>
        <w:tblBorders>
          <w:top w:val="none"/>
          <w:left w:val="single" w:color="FF6A00" w:sz="18"/>
          <w:bottom w:val="none"/>
          <w:right w:val="none"/>
          <w:insideH w:val="none"/>
          <w:insideV w:val="none"/>
        </w:tblBorders>
      </w:tblPr>
      <w:tblGrid>
        <w:gridCol w:w="9026"/>
      </w:tblGrid>
      <w:tr>
        <w:tc>
          <w:tcPr>
            <w:tcW w:type="dxa" w:w="9026"/>
            <w:shd w:fill="F8F8F6" w:val="clear"/>
            <w:tcMar>
              <w:top w:type="dxa" w:w="140"/>
              <w:left w:type="dxa" w:w="200"/>
              <w:bottom w:type="dxa" w:w="140"/>
              <w:right w:type="dxa" w:w="200"/>
            </w:tcMar>
          </w:tcPr>
          <w:p>
            <w:pPr>
              <w:spacing w:after="0" w:line="300"/>
            </w:pPr>
            <w:r>
              <w:rPr>
                <w:rFonts w:ascii="Inter" w:cs="Inter" w:eastAsia="Inter" w:hAnsi="Inter"/>
                <w:b/>
                <w:bCs/>
                <w:color w:val="FF6A00"/>
                <w:sz w:val="20"/>
                <w:szCs w:val="20"/>
              </w:rPr>
              <w:t xml:space="preserve">Regla D6. </w:t>
            </w:r>
            <w:r>
              <w:rPr>
                <w:rFonts w:ascii="Inter" w:cs="Inter" w:eastAsia="Inter" w:hAnsi="Inter"/>
                <w:color w:val="111111"/>
                <w:sz w:val="20"/>
                <w:szCs w:val="20"/>
              </w:rPr>
              <w:t xml:space="preserve">Esta ficha no se revisa por calendario, se revisa cuando el sistema cambia. Disparadores válidos: cambio de manager, alta de una herramienta, incidente de divulgación, tasa de escalado fuera de rango, cambio del techo económico.</w:t>
            </w:r>
          </w:p>
        </w:tc>
      </w:tr>
    </w:tbl>
    <w:p>
      <w:r>
        <w:br w:type="page"/>
      </w:r>
    </w:p>
    <w:p>
      <w:pPr>
        <w:pStyle w:val="Heading1"/>
        <w:pBdr>
          <w:bottom w:val="single" w:color="FF6A00" w:sz="12" w:space="6"/>
        </w:pBdr>
        <w:spacing w:after="200" w:before="400"/>
      </w:pPr>
      <w:r>
        <w:rPr>
          <w:rFonts w:ascii="Inter" w:cs="Inter" w:eastAsia="Inter" w:hAnsi="Inter"/>
          <w:b/>
          <w:bCs/>
          <w:color w:val="111111"/>
          <w:sz w:val="30"/>
          <w:szCs w:val="30"/>
        </w:rPr>
        <w:t xml:space="preserve">II · Matriz de interlocución</w:t>
      </w:r>
    </w:p>
    <w:p>
      <w:pPr>
        <w:spacing w:after="120" w:line="300"/>
      </w:pPr>
      <w:r>
        <w:rPr>
          <w:rFonts w:ascii="Inter" w:cs="Inter" w:eastAsia="Inter" w:hAnsi="Inter"/>
          <w:color w:val="111111"/>
          <w:sz w:val="20"/>
          <w:szCs w:val="20"/>
        </w:rPr>
        <w:t xml:space="preserve">Es el campo B5, y es el corazón de este anexo. Resuelve el caso literal que lo motivó: un rol con acceso a información estratégica no puede responder una pregunta de estrategia a cualquiera que se la haga, por muy legítima que sea la persona que pregunta.</w:t>
      </w:r>
    </w:p>
    <w:p>
      <w:pPr>
        <w:pStyle w:val="Heading2"/>
        <w:spacing w:after="140" w:before="320"/>
      </w:pPr>
      <w:r>
        <w:rPr>
          <w:rFonts w:ascii="Inter" w:cs="Inter" w:eastAsia="Inter" w:hAnsi="Inter"/>
          <w:b/>
          <w:bCs/>
          <w:color w:val="111111"/>
          <w:sz w:val="24"/>
          <w:szCs w:val="24"/>
        </w:rPr>
        <w:t xml:space="preserve">Por qué dos ejes y no una lista de personas</w:t>
      </w:r>
    </w:p>
    <w:p>
      <w:pPr>
        <w:spacing w:after="120" w:line="300"/>
      </w:pPr>
      <w:r>
        <w:rPr>
          <w:rFonts w:ascii="Inter" w:cs="Inter" w:eastAsia="Inter" w:hAnsi="Inter"/>
          <w:color w:val="111111"/>
          <w:sz w:val="20"/>
          <w:szCs w:val="20"/>
        </w:rPr>
        <w:t xml:space="preserve">La solución intuitiva es una lista blanca: «este especialista puede hablar con estas cinco personas». Se descarta por tres razones concretas. Envejece a la primera incorporación. No distingue entre preguntas distintas hechas por la misma persona — un manager puede pedir legítimamente el estado de una campaña y no legítimamente el margen de la línea. Y no es auditable: una lista no explica por qué alguien está en ella.</w:t>
      </w:r>
    </w:p>
    <w:p>
      <w:pPr>
        <w:spacing w:after="120" w:line="300"/>
      </w:pPr>
      <w:r>
        <w:rPr>
          <w:rFonts w:ascii="Inter" w:cs="Inter" w:eastAsia="Inter" w:hAnsi="Inter"/>
          <w:color w:val="111111"/>
          <w:sz w:val="20"/>
          <w:szCs w:val="20"/>
        </w:rPr>
        <w:t xml:space="preserve">El control se define, por tanto, sobre el cruce de dos ejes: qué clase de información es la respuesta, y qué relación tiene con el rol quien pregunta. Nada más. Cualquier tercer eje convierte esto en un sistema que nadie mantiene.</w:t>
      </w:r>
    </w:p>
    <w:p>
      <w:pPr>
        <w:pStyle w:val="Heading2"/>
        <w:spacing w:after="140" w:before="320"/>
      </w:pPr>
      <w:r>
        <w:rPr>
          <w:rFonts w:ascii="Inter" w:cs="Inter" w:eastAsia="Inter" w:hAnsi="Inter"/>
          <w:b/>
          <w:bCs/>
          <w:color w:val="111111"/>
          <w:sz w:val="24"/>
          <w:szCs w:val="24"/>
        </w:rPr>
        <w:t xml:space="preserve">Eje 1 · Clases de información</w:t>
      </w:r>
    </w:p>
    <w:tbl>
      <w:tblPr>
        <w:tblW w:type="dxa" w:w="9026"/>
        <w:tblBorders>
          <w:top w:val="single" w:color="DDDDD8" w:sz="4"/>
          <w:left w:val="single" w:color="DDDDD8" w:sz="4"/>
          <w:bottom w:val="single" w:color="DDDDD8" w:sz="4"/>
          <w:right w:val="single" w:color="DDDDD8" w:sz="4"/>
          <w:insideH w:val="single" w:color="DDDDD8" w:sz="4"/>
          <w:insideV w:val="single" w:color="DDDDD8" w:sz="4"/>
        </w:tblBorders>
      </w:tblPr>
      <w:tblGrid>
        <w:gridCol w:w="900"/>
        <w:gridCol w:w="1700"/>
        <w:gridCol w:w="3600"/>
        <w:gridCol w:w="2826"/>
      </w:tblGrid>
      <w:tr>
        <w:trPr>
          <w:tblHeader/>
        </w:trPr>
        <w:tc>
          <w:tcPr>
            <w:tcW w:type="dxa" w:w="90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Clase</w:t>
            </w:r>
          </w:p>
        </w:tc>
        <w:tc>
          <w:tcPr>
            <w:tcW w:type="dxa" w:w="170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Nombre</w:t>
            </w:r>
          </w:p>
        </w:tc>
        <w:tc>
          <w:tcPr>
            <w:tcW w:type="dxa" w:w="360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Qué contiene</w:t>
            </w:r>
          </w:p>
        </w:tc>
        <w:tc>
          <w:tcPr>
            <w:tcW w:type="dxa" w:w="2826"/>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Ejemplo en Vrutal</w:t>
            </w:r>
          </w:p>
        </w:tc>
      </w:tr>
      <w:tr>
        <w:tc>
          <w:tcPr>
            <w:tcW w:type="dxa" w:w="900"/>
            <w:shd w:fill="FFFFFF" w:val="clear"/>
            <w:tcMar>
              <w:top w:type="dxa" w:w="90"/>
              <w:left w:type="dxa" w:w="130"/>
              <w:bottom w:type="dxa" w:w="90"/>
              <w:right w:type="dxa" w:w="130"/>
            </w:tcMar>
          </w:tcPr>
          <w:p>
            <w:pPr>
              <w:spacing w:after="0" w:line="260"/>
            </w:pPr>
            <w:r>
              <w:rPr>
                <w:rFonts w:ascii="Inter" w:cs="Inter" w:eastAsia="Inter" w:hAnsi="Inter"/>
                <w:b/>
                <w:bCs/>
                <w:color w:val="FF6A00"/>
                <w:sz w:val="18"/>
                <w:szCs w:val="18"/>
              </w:rPr>
              <w:t xml:space="preserve">D1</w:t>
            </w:r>
          </w:p>
        </w:tc>
        <w:tc>
          <w:tcPr>
            <w:tcW w:type="dxa" w:w="17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Pública</w:t>
            </w:r>
          </w:p>
        </w:tc>
        <w:tc>
          <w:tcPr>
            <w:tcW w:type="dxa" w:w="36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Todo lo que Vrutal ya ha publicado por sí misma.</w:t>
            </w:r>
          </w:p>
        </w:tc>
        <w:tc>
          <w:tcPr>
            <w:tcW w:type="dxa" w:w="28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Posicionamiento, casos publicados, contenido del blog</w:t>
            </w:r>
          </w:p>
        </w:tc>
      </w:tr>
      <w:tr>
        <w:tc>
          <w:tcPr>
            <w:tcW w:type="dxa" w:w="900"/>
            <w:shd w:fill="FFFFFF" w:val="clear"/>
            <w:tcMar>
              <w:top w:type="dxa" w:w="90"/>
              <w:left w:type="dxa" w:w="130"/>
              <w:bottom w:type="dxa" w:w="90"/>
              <w:right w:type="dxa" w:w="130"/>
            </w:tcMar>
          </w:tcPr>
          <w:p>
            <w:pPr>
              <w:spacing w:after="0" w:line="260"/>
            </w:pPr>
            <w:r>
              <w:rPr>
                <w:rFonts w:ascii="Inter" w:cs="Inter" w:eastAsia="Inter" w:hAnsi="Inter"/>
                <w:b/>
                <w:bCs/>
                <w:color w:val="FF6A00"/>
                <w:sz w:val="18"/>
                <w:szCs w:val="18"/>
              </w:rPr>
              <w:t xml:space="preserve">D2</w:t>
            </w:r>
          </w:p>
        </w:tc>
        <w:tc>
          <w:tcPr>
            <w:tcW w:type="dxa" w:w="17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Operativa</w:t>
            </w:r>
          </w:p>
        </w:tc>
        <w:tc>
          <w:tcPr>
            <w:tcW w:type="dxa" w:w="36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Estado del trabajo propio del rol. No revela rendimiento ni coste.</w:t>
            </w:r>
          </w:p>
        </w:tc>
        <w:tc>
          <w:tcPr>
            <w:tcW w:type="dxa" w:w="28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«La campaña está en revisión», calendario de publicación</w:t>
            </w:r>
          </w:p>
        </w:tc>
      </w:tr>
      <w:tr>
        <w:tc>
          <w:tcPr>
            <w:tcW w:type="dxa" w:w="900"/>
            <w:shd w:fill="FFFFFF" w:val="clear"/>
            <w:tcMar>
              <w:top w:type="dxa" w:w="90"/>
              <w:left w:type="dxa" w:w="130"/>
              <w:bottom w:type="dxa" w:w="90"/>
              <w:right w:type="dxa" w:w="130"/>
            </w:tcMar>
          </w:tcPr>
          <w:p>
            <w:pPr>
              <w:spacing w:after="0" w:line="260"/>
            </w:pPr>
            <w:r>
              <w:rPr>
                <w:rFonts w:ascii="Inter" w:cs="Inter" w:eastAsia="Inter" w:hAnsi="Inter"/>
                <w:b/>
                <w:bCs/>
                <w:color w:val="FF6A00"/>
                <w:sz w:val="18"/>
                <w:szCs w:val="18"/>
              </w:rPr>
              <w:t xml:space="preserve">D3</w:t>
            </w:r>
          </w:p>
        </w:tc>
        <w:tc>
          <w:tcPr>
            <w:tcW w:type="dxa" w:w="17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Restringida</w:t>
            </w:r>
          </w:p>
        </w:tc>
        <w:tc>
          <w:tcPr>
            <w:tcW w:type="dxa" w:w="36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Rendimiento no publicado, coste, dato de cliente identificable.</w:t>
            </w:r>
          </w:p>
        </w:tc>
        <w:tc>
          <w:tcPr>
            <w:tcW w:type="dxa" w:w="28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CAC por canal, gasto real de SEM, lista de contactos</w:t>
            </w:r>
          </w:p>
        </w:tc>
      </w:tr>
      <w:tr>
        <w:tc>
          <w:tcPr>
            <w:tcW w:type="dxa" w:w="900"/>
            <w:shd w:fill="FFFFFF" w:val="clear"/>
            <w:tcMar>
              <w:top w:type="dxa" w:w="90"/>
              <w:left w:type="dxa" w:w="130"/>
              <w:bottom w:type="dxa" w:w="90"/>
              <w:right w:type="dxa" w:w="130"/>
            </w:tcMar>
          </w:tcPr>
          <w:p>
            <w:pPr>
              <w:spacing w:after="0" w:line="260"/>
            </w:pPr>
            <w:r>
              <w:rPr>
                <w:rFonts w:ascii="Inter" w:cs="Inter" w:eastAsia="Inter" w:hAnsi="Inter"/>
                <w:b/>
                <w:bCs/>
                <w:color w:val="FF6A00"/>
                <w:sz w:val="18"/>
                <w:szCs w:val="18"/>
              </w:rPr>
              <w:t xml:space="preserve">D4</w:t>
            </w:r>
          </w:p>
        </w:tc>
        <w:tc>
          <w:tcPr>
            <w:tcW w:type="dxa" w:w="17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Estratégica</w:t>
            </w:r>
          </w:p>
        </w:tc>
        <w:tc>
          <w:tcPr>
            <w:tcW w:type="dxa" w:w="36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Pricing, márgenes, roadmap, decisiones de Dirección, dato personal de empleado.</w:t>
            </w:r>
          </w:p>
        </w:tc>
        <w:tc>
          <w:tcPr>
            <w:tcW w:type="dxa" w:w="28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Margen por especialista, tabla de precios, plan de contratación</w:t>
            </w:r>
          </w:p>
        </w:tc>
      </w:tr>
    </w:tbl>
    <w:p>
      <w:pPr>
        <w:pStyle w:val="Heading3"/>
        <w:spacing w:after="100" w:before="240"/>
      </w:pPr>
      <w:r>
        <w:rPr>
          <w:rFonts w:ascii="Inter" w:cs="Inter" w:eastAsia="Inter" w:hAnsi="Inter"/>
          <w:b/>
          <w:bCs/>
          <w:color w:val="FF6A00"/>
          <w:sz w:val="21"/>
          <w:szCs w:val="21"/>
        </w:rPr>
        <w:t xml:space="preserve">Cómo se clasifica un dato en 10 segundos</w:t>
      </w:r>
    </w:p>
    <w:p>
      <w:pPr>
        <w:spacing w:after="120" w:line="300"/>
      </w:pPr>
      <w:r>
        <w:rPr>
          <w:rFonts w:ascii="Inter" w:cs="Inter" w:eastAsia="Inter" w:hAnsi="Inter"/>
          <w:color w:val="111111"/>
          <w:sz w:val="20"/>
          <w:szCs w:val="20"/>
        </w:rPr>
        <w:t xml:space="preserve">Dos preguntas, en este orden. Si la respuesta a la primera es «nada», es D1. Si la respuesta a la segunda es «Dirección», es D4. Todo lo demás cae en D2 o D3 según si revela rendimiento o no.</w:t>
      </w:r>
    </w:p>
    <w:p>
      <w:pPr>
        <w:pStyle w:val="ListParagraph"/>
        <w:numPr>
          <w:ilvl w:val="0"/>
          <w:numId w:val="2"/>
        </w:numPr>
        <w:spacing w:after="80" w:line="300"/>
      </w:pPr>
      <w:r>
        <w:rPr>
          <w:rFonts w:ascii="Inter" w:cs="Inter" w:eastAsia="Inter" w:hAnsi="Inter"/>
          <w:color w:val="111111"/>
          <w:sz w:val="20"/>
          <w:szCs w:val="20"/>
        </w:rPr>
        <w:t xml:space="preserve">¿Qué pasa si esto aparece mañana en LinkedIn publicado por un competidor?</w:t>
      </w:r>
    </w:p>
    <w:p>
      <w:pPr>
        <w:pStyle w:val="ListParagraph"/>
        <w:numPr>
          <w:ilvl w:val="0"/>
          <w:numId w:val="2"/>
        </w:numPr>
        <w:spacing w:after="80" w:line="300"/>
      </w:pPr>
      <w:r>
        <w:rPr>
          <w:rFonts w:ascii="Inter" w:cs="Inter" w:eastAsia="Inter" w:hAnsi="Inter"/>
          <w:color w:val="111111"/>
          <w:sz w:val="20"/>
          <w:szCs w:val="20"/>
        </w:rPr>
        <w:t xml:space="preserve">Si alguien fuera de Vrutal pidiera esto formalmente, ¿quién tendría que autorizarlo?</w:t>
      </w:r>
    </w:p>
    <w:p>
      <w:pPr>
        <w:pStyle w:val="Heading2"/>
        <w:spacing w:after="140" w:before="320"/>
      </w:pPr>
      <w:r>
        <w:rPr>
          <w:rFonts w:ascii="Inter" w:cs="Inter" w:eastAsia="Inter" w:hAnsi="Inter"/>
          <w:b/>
          <w:bCs/>
          <w:color w:val="111111"/>
          <w:sz w:val="24"/>
          <w:szCs w:val="24"/>
        </w:rPr>
        <w:t xml:space="preserve">Eje 2 · Audiencias</w:t>
      </w:r>
    </w:p>
    <w:tbl>
      <w:tblPr>
        <w:tblW w:type="dxa" w:w="9026"/>
        <w:tblBorders>
          <w:top w:val="single" w:color="DDDDD8" w:sz="4"/>
          <w:left w:val="single" w:color="DDDDD8" w:sz="4"/>
          <w:bottom w:val="single" w:color="DDDDD8" w:sz="4"/>
          <w:right w:val="single" w:color="DDDDD8" w:sz="4"/>
          <w:insideH w:val="single" w:color="DDDDD8" w:sz="4"/>
          <w:insideV w:val="single" w:color="DDDDD8" w:sz="4"/>
        </w:tblBorders>
      </w:tblPr>
      <w:tblGrid>
        <w:gridCol w:w="900"/>
        <w:gridCol w:w="3200"/>
        <w:gridCol w:w="4926"/>
      </w:tblGrid>
      <w:tr>
        <w:trPr>
          <w:tblHeader/>
        </w:trPr>
        <w:tc>
          <w:tcPr>
            <w:tcW w:type="dxa" w:w="90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Nivel</w:t>
            </w:r>
          </w:p>
        </w:tc>
        <w:tc>
          <w:tcPr>
            <w:tcW w:type="dxa" w:w="320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Audiencia</w:t>
            </w:r>
          </w:p>
        </w:tc>
        <w:tc>
          <w:tcPr>
            <w:tcW w:type="dxa" w:w="4926"/>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Definición operativa</w:t>
            </w:r>
          </w:p>
        </w:tc>
      </w:tr>
      <w:tr>
        <w:tc>
          <w:tcPr>
            <w:tcW w:type="dxa" w:w="900"/>
            <w:shd w:fill="FFFFFF" w:val="clear"/>
            <w:tcMar>
              <w:top w:type="dxa" w:w="90"/>
              <w:left w:type="dxa" w:w="130"/>
              <w:bottom w:type="dxa" w:w="90"/>
              <w:right w:type="dxa" w:w="130"/>
            </w:tcMar>
          </w:tcPr>
          <w:p>
            <w:pPr>
              <w:spacing w:after="0" w:line="260"/>
            </w:pPr>
            <w:r>
              <w:rPr>
                <w:rFonts w:ascii="Inter" w:cs="Inter" w:eastAsia="Inter" w:hAnsi="Inter"/>
                <w:b/>
                <w:bCs/>
                <w:color w:val="7B4DFF"/>
                <w:sz w:val="18"/>
                <w:szCs w:val="18"/>
              </w:rPr>
              <w:t xml:space="preserve">A0</w:t>
            </w:r>
          </w:p>
        </w:tc>
        <w:tc>
          <w:tcPr>
            <w:tcW w:type="dxa" w:w="32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Público / externo</w:t>
            </w:r>
          </w:p>
        </w:tc>
        <w:tc>
          <w:tcPr>
            <w:tcW w:type="dxa" w:w="49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Cualquiera sin relación contractual con Vrutal. Incluye candidatos, proveedores y prensa.</w:t>
            </w:r>
          </w:p>
        </w:tc>
      </w:tr>
      <w:tr>
        <w:tc>
          <w:tcPr>
            <w:tcW w:type="dxa" w:w="900"/>
            <w:shd w:fill="FFFFFF" w:val="clear"/>
            <w:tcMar>
              <w:top w:type="dxa" w:w="90"/>
              <w:left w:type="dxa" w:w="130"/>
              <w:bottom w:type="dxa" w:w="90"/>
              <w:right w:type="dxa" w:w="130"/>
            </w:tcMar>
          </w:tcPr>
          <w:p>
            <w:pPr>
              <w:spacing w:after="0" w:line="260"/>
            </w:pPr>
            <w:r>
              <w:rPr>
                <w:rFonts w:ascii="Inter" w:cs="Inter" w:eastAsia="Inter" w:hAnsi="Inter"/>
                <w:b/>
                <w:bCs/>
                <w:color w:val="7B4DFF"/>
                <w:sz w:val="18"/>
                <w:szCs w:val="18"/>
              </w:rPr>
              <w:t xml:space="preserve">A1</w:t>
            </w:r>
          </w:p>
        </w:tc>
        <w:tc>
          <w:tcPr>
            <w:tcW w:type="dxa" w:w="32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Cliente</w:t>
            </w:r>
          </w:p>
        </w:tc>
        <w:tc>
          <w:tcPr>
            <w:tcW w:type="dxa" w:w="49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Cliente activo. Su alcance se limita siempre a su propia cuenta.</w:t>
            </w:r>
          </w:p>
        </w:tc>
      </w:tr>
      <w:tr>
        <w:tc>
          <w:tcPr>
            <w:tcW w:type="dxa" w:w="900"/>
            <w:shd w:fill="FFFFFF" w:val="clear"/>
            <w:tcMar>
              <w:top w:type="dxa" w:w="90"/>
              <w:left w:type="dxa" w:w="130"/>
              <w:bottom w:type="dxa" w:w="90"/>
              <w:right w:type="dxa" w:w="130"/>
            </w:tcMar>
          </w:tcPr>
          <w:p>
            <w:pPr>
              <w:spacing w:after="0" w:line="260"/>
            </w:pPr>
            <w:r>
              <w:rPr>
                <w:rFonts w:ascii="Inter" w:cs="Inter" w:eastAsia="Inter" w:hAnsi="Inter"/>
                <w:b/>
                <w:bCs/>
                <w:color w:val="7B4DFF"/>
                <w:sz w:val="18"/>
                <w:szCs w:val="18"/>
              </w:rPr>
              <w:t xml:space="preserve">A2</w:t>
            </w:r>
          </w:p>
        </w:tc>
        <w:tc>
          <w:tcPr>
            <w:tcW w:type="dxa" w:w="32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Interno sin relación</w:t>
            </w:r>
          </w:p>
        </w:tc>
        <w:tc>
          <w:tcPr>
            <w:tcW w:type="dxa" w:w="49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Cualquier persona o especialista de Vrutal sin vínculo jerárquico ni de sinapsis con este rol. El nivel importa: un director de otra línea sigue siendo A2 para este rol.</w:t>
            </w:r>
          </w:p>
        </w:tc>
      </w:tr>
      <w:tr>
        <w:tc>
          <w:tcPr>
            <w:tcW w:type="dxa" w:w="900"/>
            <w:shd w:fill="FFFFFF" w:val="clear"/>
            <w:tcMar>
              <w:top w:type="dxa" w:w="90"/>
              <w:left w:type="dxa" w:w="130"/>
              <w:bottom w:type="dxa" w:w="90"/>
              <w:right w:type="dxa" w:w="130"/>
            </w:tcMar>
          </w:tcPr>
          <w:p>
            <w:pPr>
              <w:spacing w:after="0" w:line="260"/>
            </w:pPr>
            <w:r>
              <w:rPr>
                <w:rFonts w:ascii="Inter" w:cs="Inter" w:eastAsia="Inter" w:hAnsi="Inter"/>
                <w:b/>
                <w:bCs/>
                <w:color w:val="7B4DFF"/>
                <w:sz w:val="18"/>
                <w:szCs w:val="18"/>
              </w:rPr>
              <w:t xml:space="preserve">A3</w:t>
            </w:r>
          </w:p>
        </w:tc>
        <w:tc>
          <w:tcPr>
            <w:tcW w:type="dxa" w:w="32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Línea directa</w:t>
            </w:r>
          </w:p>
        </w:tc>
        <w:tc>
          <w:tcPr>
            <w:tcW w:type="dxa" w:w="49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Su manager, sus pares de línea, y quien le reporta.</w:t>
            </w:r>
          </w:p>
        </w:tc>
      </w:tr>
      <w:tr>
        <w:tc>
          <w:tcPr>
            <w:tcW w:type="dxa" w:w="900"/>
            <w:shd w:fill="FFFFFF" w:val="clear"/>
            <w:tcMar>
              <w:top w:type="dxa" w:w="90"/>
              <w:left w:type="dxa" w:w="130"/>
              <w:bottom w:type="dxa" w:w="90"/>
              <w:right w:type="dxa" w:w="130"/>
            </w:tcMar>
          </w:tcPr>
          <w:p>
            <w:pPr>
              <w:spacing w:after="0" w:line="260"/>
            </w:pPr>
            <w:r>
              <w:rPr>
                <w:rFonts w:ascii="Inter" w:cs="Inter" w:eastAsia="Inter" w:hAnsi="Inter"/>
                <w:b/>
                <w:bCs/>
                <w:color w:val="7B4DFF"/>
                <w:sz w:val="18"/>
                <w:szCs w:val="18"/>
              </w:rPr>
              <w:t xml:space="preserve">A4</w:t>
            </w:r>
          </w:p>
        </w:tc>
        <w:tc>
          <w:tcPr>
            <w:tcW w:type="dxa" w:w="32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Dirección</w:t>
            </w:r>
          </w:p>
        </w:tc>
        <w:tc>
          <w:tcPr>
            <w:tcW w:type="dxa" w:w="49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Dirección y propiedad de Vrutal.</w:t>
            </w:r>
          </w:p>
        </w:tc>
      </w:tr>
    </w:tbl>
    <w:tbl>
      <w:tblPr>
        <w:tblW w:type="dxa" w:w="9026"/>
        <w:tblBorders>
          <w:top w:val="none"/>
          <w:left w:val="single" w:color="FF6A00" w:sz="18"/>
          <w:bottom w:val="none"/>
          <w:right w:val="none"/>
          <w:insideH w:val="none"/>
          <w:insideV w:val="none"/>
        </w:tblBorders>
      </w:tblPr>
      <w:tblGrid>
        <w:gridCol w:w="9026"/>
      </w:tblGrid>
      <w:tr>
        <w:tc>
          <w:tcPr>
            <w:tcW w:type="dxa" w:w="9026"/>
            <w:shd w:fill="F8F8F6" w:val="clear"/>
            <w:tcMar>
              <w:top w:type="dxa" w:w="140"/>
              <w:left w:type="dxa" w:w="200"/>
              <w:bottom w:type="dxa" w:w="140"/>
              <w:right w:type="dxa" w:w="200"/>
            </w:tcMar>
          </w:tcPr>
          <w:p>
            <w:pPr>
              <w:spacing w:after="0" w:line="300"/>
            </w:pPr>
            <w:r>
              <w:rPr>
                <w:rFonts w:ascii="Inter" w:cs="Inter" w:eastAsia="Inter" w:hAnsi="Inter"/>
                <w:b/>
                <w:bCs/>
                <w:color w:val="FF6A00"/>
                <w:sz w:val="20"/>
                <w:szCs w:val="20"/>
              </w:rPr>
              <w:t xml:space="preserve">El punto que suele fallar. </w:t>
            </w:r>
            <w:r>
              <w:rPr>
                <w:rFonts w:ascii="Inter" w:cs="Inter" w:eastAsia="Inter" w:hAnsi="Inter"/>
                <w:color w:val="111111"/>
                <w:sz w:val="20"/>
                <w:szCs w:val="20"/>
              </w:rPr>
              <w:t xml:space="preserve">A2 no significa «personal de bajo nivel». Significa «sin relación con este rol». Un director de otra línea que pregunta a un especialista de Adquisición por el CAC está en A2, no en A4 — su autoridad es real, pero no sobre esta línea. La ruta correcta existe y es su propio manager, no el atajo.</w:t>
            </w:r>
          </w:p>
        </w:tc>
      </w:tr>
    </w:tbl>
    <w:p>
      <w:pPr>
        <w:pStyle w:val="Heading2"/>
        <w:spacing w:after="140" w:before="320"/>
      </w:pPr>
      <w:r>
        <w:rPr>
          <w:rFonts w:ascii="Inter" w:cs="Inter" w:eastAsia="Inter" w:hAnsi="Inter"/>
          <w:b/>
          <w:bCs/>
          <w:color w:val="111111"/>
          <w:sz w:val="24"/>
          <w:szCs w:val="24"/>
        </w:rPr>
        <w:t xml:space="preserve">La matriz por defecto</w:t>
      </w:r>
    </w:p>
    <w:tbl>
      <w:tblPr>
        <w:tblW w:type="dxa" w:w="9026"/>
        <w:tblBorders>
          <w:top w:val="single" w:color="DDDDD8" w:sz="4"/>
          <w:left w:val="single" w:color="DDDDD8" w:sz="4"/>
          <w:bottom w:val="single" w:color="DDDDD8" w:sz="4"/>
          <w:right w:val="single" w:color="DDDDD8" w:sz="4"/>
          <w:insideH w:val="single" w:color="DDDDD8" w:sz="4"/>
          <w:insideV w:val="single" w:color="DDDDD8" w:sz="4"/>
        </w:tblBorders>
      </w:tblPr>
      <w:tblGrid>
        <w:gridCol w:w="1826"/>
        <w:gridCol w:w="1440"/>
        <w:gridCol w:w="1440"/>
        <w:gridCol w:w="1440"/>
        <w:gridCol w:w="1440"/>
        <w:gridCol w:w="1440"/>
      </w:tblGrid>
      <w:tr>
        <w:trPr>
          <w:tblHeader/>
        </w:trPr>
        <w:tc>
          <w:tcPr>
            <w:tcW w:type="dxa" w:w="1826"/>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
            </w:r>
          </w:p>
        </w:tc>
        <w:tc>
          <w:tcPr>
            <w:tcW w:type="dxa" w:w="144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A0 Público</w:t>
            </w:r>
          </w:p>
        </w:tc>
        <w:tc>
          <w:tcPr>
            <w:tcW w:type="dxa" w:w="144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A1 Cliente</w:t>
            </w:r>
          </w:p>
        </w:tc>
        <w:tc>
          <w:tcPr>
            <w:tcW w:type="dxa" w:w="144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A2 Interno</w:t>
            </w:r>
          </w:p>
        </w:tc>
        <w:tc>
          <w:tcPr>
            <w:tcW w:type="dxa" w:w="144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A3 Línea</w:t>
            </w:r>
          </w:p>
        </w:tc>
        <w:tc>
          <w:tcPr>
            <w:tcW w:type="dxa" w:w="144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A4 Dirección</w:t>
            </w:r>
          </w:p>
        </w:tc>
      </w:tr>
      <w:tr>
        <w:tc>
          <w:tcPr>
            <w:tcW w:type="dxa" w:w="1826"/>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D1 Pública</w:t>
            </w:r>
          </w:p>
        </w:tc>
        <w:tc>
          <w:tcPr>
            <w:tcW w:type="dxa" w:w="1440"/>
            <w:shd w:fill="FFFFFF" w:val="clear"/>
            <w:tcMar>
              <w:top w:type="dxa" w:w="90"/>
              <w:left w:type="dxa" w:w="130"/>
              <w:bottom w:type="dxa" w:w="90"/>
              <w:right w:type="dxa" w:w="130"/>
            </w:tcMar>
          </w:tcPr>
          <w:p>
            <w:pPr>
              <w:spacing w:after="0" w:line="260"/>
            </w:pPr>
            <w:r>
              <w:rPr>
                <w:rFonts w:ascii="Inter" w:cs="Inter" w:eastAsia="Inter" w:hAnsi="Inter"/>
                <w:color w:val="2E7D32"/>
                <w:sz w:val="18"/>
                <w:szCs w:val="18"/>
              </w:rPr>
              <w:t xml:space="preserve">Sí</w:t>
            </w:r>
          </w:p>
        </w:tc>
        <w:tc>
          <w:tcPr>
            <w:tcW w:type="dxa" w:w="1440"/>
            <w:shd w:fill="FFFFFF" w:val="clear"/>
            <w:tcMar>
              <w:top w:type="dxa" w:w="90"/>
              <w:left w:type="dxa" w:w="130"/>
              <w:bottom w:type="dxa" w:w="90"/>
              <w:right w:type="dxa" w:w="130"/>
            </w:tcMar>
          </w:tcPr>
          <w:p>
            <w:pPr>
              <w:spacing w:after="0" w:line="260"/>
            </w:pPr>
            <w:r>
              <w:rPr>
                <w:rFonts w:ascii="Inter" w:cs="Inter" w:eastAsia="Inter" w:hAnsi="Inter"/>
                <w:color w:val="2E7D32"/>
                <w:sz w:val="18"/>
                <w:szCs w:val="18"/>
              </w:rPr>
              <w:t xml:space="preserve">Sí</w:t>
            </w:r>
          </w:p>
        </w:tc>
        <w:tc>
          <w:tcPr>
            <w:tcW w:type="dxa" w:w="1440"/>
            <w:shd w:fill="FFFFFF" w:val="clear"/>
            <w:tcMar>
              <w:top w:type="dxa" w:w="90"/>
              <w:left w:type="dxa" w:w="130"/>
              <w:bottom w:type="dxa" w:w="90"/>
              <w:right w:type="dxa" w:w="130"/>
            </w:tcMar>
          </w:tcPr>
          <w:p>
            <w:pPr>
              <w:spacing w:after="0" w:line="260"/>
            </w:pPr>
            <w:r>
              <w:rPr>
                <w:rFonts w:ascii="Inter" w:cs="Inter" w:eastAsia="Inter" w:hAnsi="Inter"/>
                <w:color w:val="2E7D32"/>
                <w:sz w:val="18"/>
                <w:szCs w:val="18"/>
              </w:rPr>
              <w:t xml:space="preserve">Sí</w:t>
            </w:r>
          </w:p>
        </w:tc>
        <w:tc>
          <w:tcPr>
            <w:tcW w:type="dxa" w:w="1440"/>
            <w:shd w:fill="FFFFFF" w:val="clear"/>
            <w:tcMar>
              <w:top w:type="dxa" w:w="90"/>
              <w:left w:type="dxa" w:w="130"/>
              <w:bottom w:type="dxa" w:w="90"/>
              <w:right w:type="dxa" w:w="130"/>
            </w:tcMar>
          </w:tcPr>
          <w:p>
            <w:pPr>
              <w:spacing w:after="0" w:line="260"/>
            </w:pPr>
            <w:r>
              <w:rPr>
                <w:rFonts w:ascii="Inter" w:cs="Inter" w:eastAsia="Inter" w:hAnsi="Inter"/>
                <w:color w:val="2E7D32"/>
                <w:sz w:val="18"/>
                <w:szCs w:val="18"/>
              </w:rPr>
              <w:t xml:space="preserve">Sí</w:t>
            </w:r>
          </w:p>
        </w:tc>
        <w:tc>
          <w:tcPr>
            <w:tcW w:type="dxa" w:w="1440"/>
            <w:shd w:fill="FFFFFF" w:val="clear"/>
            <w:tcMar>
              <w:top w:type="dxa" w:w="90"/>
              <w:left w:type="dxa" w:w="130"/>
              <w:bottom w:type="dxa" w:w="90"/>
              <w:right w:type="dxa" w:w="130"/>
            </w:tcMar>
          </w:tcPr>
          <w:p>
            <w:pPr>
              <w:spacing w:after="0" w:line="260"/>
            </w:pPr>
            <w:r>
              <w:rPr>
                <w:rFonts w:ascii="Inter" w:cs="Inter" w:eastAsia="Inter" w:hAnsi="Inter"/>
                <w:color w:val="2E7D32"/>
                <w:sz w:val="18"/>
                <w:szCs w:val="18"/>
              </w:rPr>
              <w:t xml:space="preserve">Sí</w:t>
            </w:r>
          </w:p>
        </w:tc>
      </w:tr>
      <w:tr>
        <w:tc>
          <w:tcPr>
            <w:tcW w:type="dxa" w:w="1826"/>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D2 Operativa</w:t>
            </w:r>
          </w:p>
        </w:tc>
        <w:tc>
          <w:tcPr>
            <w:tcW w:type="dxa" w:w="1440"/>
            <w:shd w:fill="FFFFFF" w:val="clear"/>
            <w:tcMar>
              <w:top w:type="dxa" w:w="90"/>
              <w:left w:type="dxa" w:w="130"/>
              <w:bottom w:type="dxa" w:w="90"/>
              <w:right w:type="dxa" w:w="130"/>
            </w:tcMar>
          </w:tcPr>
          <w:p>
            <w:pPr>
              <w:spacing w:after="0" w:line="260"/>
            </w:pPr>
            <w:r>
              <w:rPr>
                <w:rFonts w:ascii="Inter" w:cs="Inter" w:eastAsia="Inter" w:hAnsi="Inter"/>
                <w:color w:val="B3261E"/>
                <w:sz w:val="18"/>
                <w:szCs w:val="18"/>
              </w:rPr>
              <w:t xml:space="preserve">No</w:t>
            </w:r>
          </w:p>
        </w:tc>
        <w:tc>
          <w:tcPr>
            <w:tcW w:type="dxa" w:w="1440"/>
            <w:shd w:fill="FFFFFF" w:val="clear"/>
            <w:tcMar>
              <w:top w:type="dxa" w:w="90"/>
              <w:left w:type="dxa" w:w="130"/>
              <w:bottom w:type="dxa" w:w="90"/>
              <w:right w:type="dxa" w:w="130"/>
            </w:tcMar>
          </w:tcPr>
          <w:p>
            <w:pPr>
              <w:spacing w:after="60" w:line="260"/>
            </w:pPr>
            <w:r>
              <w:rPr>
                <w:rFonts w:ascii="Inter" w:cs="Inter" w:eastAsia="Inter" w:hAnsi="Inter"/>
                <w:color w:val="2E7D32"/>
                <w:sz w:val="18"/>
                <w:szCs w:val="18"/>
              </w:rPr>
              <w:t xml:space="preserve">Sí</w:t>
            </w:r>
          </w:p>
          <w:p>
            <w:pPr>
              <w:spacing w:after="0" w:line="260"/>
            </w:pPr>
            <w:r>
              <w:rPr>
                <w:rFonts w:ascii="Inter" w:cs="Inter" w:eastAsia="Inter" w:hAnsi="Inter"/>
                <w:color w:val="2E7D32"/>
                <w:sz w:val="18"/>
                <w:szCs w:val="18"/>
              </w:rPr>
              <w:t xml:space="preserve">solo lo suyo</w:t>
            </w:r>
          </w:p>
        </w:tc>
        <w:tc>
          <w:tcPr>
            <w:tcW w:type="dxa" w:w="1440"/>
            <w:shd w:fill="FFFFFF" w:val="clear"/>
            <w:tcMar>
              <w:top w:type="dxa" w:w="90"/>
              <w:left w:type="dxa" w:w="130"/>
              <w:bottom w:type="dxa" w:w="90"/>
              <w:right w:type="dxa" w:w="130"/>
            </w:tcMar>
          </w:tcPr>
          <w:p>
            <w:pPr>
              <w:spacing w:after="0" w:line="260"/>
            </w:pPr>
            <w:r>
              <w:rPr>
                <w:rFonts w:ascii="Inter" w:cs="Inter" w:eastAsia="Inter" w:hAnsi="Inter"/>
                <w:color w:val="2E7D32"/>
                <w:sz w:val="18"/>
                <w:szCs w:val="18"/>
              </w:rPr>
              <w:t xml:space="preserve">Sí</w:t>
            </w:r>
          </w:p>
        </w:tc>
        <w:tc>
          <w:tcPr>
            <w:tcW w:type="dxa" w:w="1440"/>
            <w:shd w:fill="FFFFFF" w:val="clear"/>
            <w:tcMar>
              <w:top w:type="dxa" w:w="90"/>
              <w:left w:type="dxa" w:w="130"/>
              <w:bottom w:type="dxa" w:w="90"/>
              <w:right w:type="dxa" w:w="130"/>
            </w:tcMar>
          </w:tcPr>
          <w:p>
            <w:pPr>
              <w:spacing w:after="0" w:line="260"/>
            </w:pPr>
            <w:r>
              <w:rPr>
                <w:rFonts w:ascii="Inter" w:cs="Inter" w:eastAsia="Inter" w:hAnsi="Inter"/>
                <w:color w:val="2E7D32"/>
                <w:sz w:val="18"/>
                <w:szCs w:val="18"/>
              </w:rPr>
              <w:t xml:space="preserve">Sí</w:t>
            </w:r>
          </w:p>
        </w:tc>
        <w:tc>
          <w:tcPr>
            <w:tcW w:type="dxa" w:w="1440"/>
            <w:shd w:fill="FFFFFF" w:val="clear"/>
            <w:tcMar>
              <w:top w:type="dxa" w:w="90"/>
              <w:left w:type="dxa" w:w="130"/>
              <w:bottom w:type="dxa" w:w="90"/>
              <w:right w:type="dxa" w:w="130"/>
            </w:tcMar>
          </w:tcPr>
          <w:p>
            <w:pPr>
              <w:spacing w:after="0" w:line="260"/>
            </w:pPr>
            <w:r>
              <w:rPr>
                <w:rFonts w:ascii="Inter" w:cs="Inter" w:eastAsia="Inter" w:hAnsi="Inter"/>
                <w:color w:val="2E7D32"/>
                <w:sz w:val="18"/>
                <w:szCs w:val="18"/>
              </w:rPr>
              <w:t xml:space="preserve">Sí</w:t>
            </w:r>
          </w:p>
        </w:tc>
      </w:tr>
      <w:tr>
        <w:tc>
          <w:tcPr>
            <w:tcW w:type="dxa" w:w="1826"/>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D3 Restringida</w:t>
            </w:r>
          </w:p>
        </w:tc>
        <w:tc>
          <w:tcPr>
            <w:tcW w:type="dxa" w:w="1440"/>
            <w:shd w:fill="FFFFFF" w:val="clear"/>
            <w:tcMar>
              <w:top w:type="dxa" w:w="90"/>
              <w:left w:type="dxa" w:w="130"/>
              <w:bottom w:type="dxa" w:w="90"/>
              <w:right w:type="dxa" w:w="130"/>
            </w:tcMar>
          </w:tcPr>
          <w:p>
            <w:pPr>
              <w:spacing w:after="0" w:line="260"/>
            </w:pPr>
            <w:r>
              <w:rPr>
                <w:rFonts w:ascii="Inter" w:cs="Inter" w:eastAsia="Inter" w:hAnsi="Inter"/>
                <w:color w:val="B3261E"/>
                <w:sz w:val="18"/>
                <w:szCs w:val="18"/>
              </w:rPr>
              <w:t xml:space="preserve">No</w:t>
            </w:r>
          </w:p>
        </w:tc>
        <w:tc>
          <w:tcPr>
            <w:tcW w:type="dxa" w:w="1440"/>
            <w:shd w:fill="FFFFFF" w:val="clear"/>
            <w:tcMar>
              <w:top w:type="dxa" w:w="90"/>
              <w:left w:type="dxa" w:w="130"/>
              <w:bottom w:type="dxa" w:w="90"/>
              <w:right w:type="dxa" w:w="130"/>
            </w:tcMar>
          </w:tcPr>
          <w:p>
            <w:pPr>
              <w:spacing w:after="60" w:line="260"/>
            </w:pPr>
            <w:r>
              <w:rPr>
                <w:rFonts w:ascii="Inter" w:cs="Inter" w:eastAsia="Inter" w:hAnsi="Inter"/>
                <w:color w:val="2E7D32"/>
                <w:sz w:val="18"/>
                <w:szCs w:val="18"/>
              </w:rPr>
              <w:t xml:space="preserve">Sí</w:t>
            </w:r>
          </w:p>
          <w:p>
            <w:pPr>
              <w:spacing w:after="0" w:line="260"/>
            </w:pPr>
            <w:r>
              <w:rPr>
                <w:rFonts w:ascii="Inter" w:cs="Inter" w:eastAsia="Inter" w:hAnsi="Inter"/>
                <w:color w:val="2E7D32"/>
                <w:sz w:val="18"/>
                <w:szCs w:val="18"/>
              </w:rPr>
              <w:t xml:space="preserve">solo lo suyo</w:t>
            </w:r>
          </w:p>
        </w:tc>
        <w:tc>
          <w:tcPr>
            <w:tcW w:type="dxa" w:w="1440"/>
            <w:shd w:fill="FFFFFF" w:val="clear"/>
            <w:tcMar>
              <w:top w:type="dxa" w:w="90"/>
              <w:left w:type="dxa" w:w="130"/>
              <w:bottom w:type="dxa" w:w="90"/>
              <w:right w:type="dxa" w:w="130"/>
            </w:tcMar>
          </w:tcPr>
          <w:p>
            <w:pPr>
              <w:spacing w:after="0" w:line="260"/>
            </w:pPr>
            <w:r>
              <w:rPr>
                <w:rFonts w:ascii="Inter" w:cs="Inter" w:eastAsia="Inter" w:hAnsi="Inter"/>
                <w:color w:val="B3261E"/>
                <w:sz w:val="18"/>
                <w:szCs w:val="18"/>
              </w:rPr>
              <w:t xml:space="preserve">No</w:t>
            </w:r>
          </w:p>
        </w:tc>
        <w:tc>
          <w:tcPr>
            <w:tcW w:type="dxa" w:w="1440"/>
            <w:shd w:fill="FFFFFF" w:val="clear"/>
            <w:tcMar>
              <w:top w:type="dxa" w:w="90"/>
              <w:left w:type="dxa" w:w="130"/>
              <w:bottom w:type="dxa" w:w="90"/>
              <w:right w:type="dxa" w:w="130"/>
            </w:tcMar>
          </w:tcPr>
          <w:p>
            <w:pPr>
              <w:spacing w:after="0" w:line="260"/>
            </w:pPr>
            <w:r>
              <w:rPr>
                <w:rFonts w:ascii="Inter" w:cs="Inter" w:eastAsia="Inter" w:hAnsi="Inter"/>
                <w:color w:val="2E7D32"/>
                <w:sz w:val="18"/>
                <w:szCs w:val="18"/>
              </w:rPr>
              <w:t xml:space="preserve">Sí</w:t>
            </w:r>
          </w:p>
        </w:tc>
        <w:tc>
          <w:tcPr>
            <w:tcW w:type="dxa" w:w="1440"/>
            <w:shd w:fill="FFFFFF" w:val="clear"/>
            <w:tcMar>
              <w:top w:type="dxa" w:w="90"/>
              <w:left w:type="dxa" w:w="130"/>
              <w:bottom w:type="dxa" w:w="90"/>
              <w:right w:type="dxa" w:w="130"/>
            </w:tcMar>
          </w:tcPr>
          <w:p>
            <w:pPr>
              <w:spacing w:after="0" w:line="260"/>
            </w:pPr>
            <w:r>
              <w:rPr>
                <w:rFonts w:ascii="Inter" w:cs="Inter" w:eastAsia="Inter" w:hAnsi="Inter"/>
                <w:color w:val="2E7D32"/>
                <w:sz w:val="18"/>
                <w:szCs w:val="18"/>
              </w:rPr>
              <w:t xml:space="preserve">Sí</w:t>
            </w:r>
          </w:p>
        </w:tc>
      </w:tr>
      <w:tr>
        <w:tc>
          <w:tcPr>
            <w:tcW w:type="dxa" w:w="1826"/>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D4 Estratégica</w:t>
            </w:r>
          </w:p>
        </w:tc>
        <w:tc>
          <w:tcPr>
            <w:tcW w:type="dxa" w:w="1440"/>
            <w:shd w:fill="FFFFFF" w:val="clear"/>
            <w:tcMar>
              <w:top w:type="dxa" w:w="90"/>
              <w:left w:type="dxa" w:w="130"/>
              <w:bottom w:type="dxa" w:w="90"/>
              <w:right w:type="dxa" w:w="130"/>
            </w:tcMar>
          </w:tcPr>
          <w:p>
            <w:pPr>
              <w:spacing w:after="0" w:line="260"/>
            </w:pPr>
            <w:r>
              <w:rPr>
                <w:rFonts w:ascii="Inter" w:cs="Inter" w:eastAsia="Inter" w:hAnsi="Inter"/>
                <w:color w:val="B3261E"/>
                <w:sz w:val="18"/>
                <w:szCs w:val="18"/>
              </w:rPr>
              <w:t xml:space="preserve">No</w:t>
            </w:r>
          </w:p>
        </w:tc>
        <w:tc>
          <w:tcPr>
            <w:tcW w:type="dxa" w:w="1440"/>
            <w:shd w:fill="FFFFFF" w:val="clear"/>
            <w:tcMar>
              <w:top w:type="dxa" w:w="90"/>
              <w:left w:type="dxa" w:w="130"/>
              <w:bottom w:type="dxa" w:w="90"/>
              <w:right w:type="dxa" w:w="130"/>
            </w:tcMar>
          </w:tcPr>
          <w:p>
            <w:pPr>
              <w:spacing w:after="0" w:line="260"/>
            </w:pPr>
            <w:r>
              <w:rPr>
                <w:rFonts w:ascii="Inter" w:cs="Inter" w:eastAsia="Inter" w:hAnsi="Inter"/>
                <w:color w:val="B3261E"/>
                <w:sz w:val="18"/>
                <w:szCs w:val="18"/>
              </w:rPr>
              <w:t xml:space="preserve">No</w:t>
            </w:r>
          </w:p>
        </w:tc>
        <w:tc>
          <w:tcPr>
            <w:tcW w:type="dxa" w:w="1440"/>
            <w:shd w:fill="FFFFFF" w:val="clear"/>
            <w:tcMar>
              <w:top w:type="dxa" w:w="90"/>
              <w:left w:type="dxa" w:w="130"/>
              <w:bottom w:type="dxa" w:w="90"/>
              <w:right w:type="dxa" w:w="130"/>
            </w:tcMar>
          </w:tcPr>
          <w:p>
            <w:pPr>
              <w:spacing w:after="0" w:line="260"/>
            </w:pPr>
            <w:r>
              <w:rPr>
                <w:rFonts w:ascii="Inter" w:cs="Inter" w:eastAsia="Inter" w:hAnsi="Inter"/>
                <w:color w:val="B3261E"/>
                <w:sz w:val="18"/>
                <w:szCs w:val="18"/>
              </w:rPr>
              <w:t xml:space="preserve">No</w:t>
            </w:r>
          </w:p>
        </w:tc>
        <w:tc>
          <w:tcPr>
            <w:tcW w:type="dxa" w:w="1440"/>
            <w:shd w:fill="FFFFFF" w:val="clear"/>
            <w:tcMar>
              <w:top w:type="dxa" w:w="90"/>
              <w:left w:type="dxa" w:w="130"/>
              <w:bottom w:type="dxa" w:w="90"/>
              <w:right w:type="dxa" w:w="130"/>
            </w:tcMar>
          </w:tcPr>
          <w:p>
            <w:pPr>
              <w:spacing w:after="60" w:line="260"/>
            </w:pPr>
            <w:r>
              <w:rPr>
                <w:rFonts w:ascii="Inter" w:cs="Inter" w:eastAsia="Inter" w:hAnsi="Inter"/>
                <w:color w:val="FF6A00"/>
                <w:sz w:val="18"/>
                <w:szCs w:val="18"/>
              </w:rPr>
              <w:t xml:space="preserve">Apertura</w:t>
            </w:r>
          </w:p>
          <w:p>
            <w:pPr>
              <w:spacing w:after="0" w:line="260"/>
            </w:pPr>
            <w:r>
              <w:rPr>
                <w:rFonts w:ascii="Inter" w:cs="Inter" w:eastAsia="Inter" w:hAnsi="Inter"/>
                <w:color w:val="FF6A00"/>
                <w:sz w:val="18"/>
                <w:szCs w:val="18"/>
              </w:rPr>
              <w:t xml:space="preserve">30 días</w:t>
            </w:r>
          </w:p>
        </w:tc>
        <w:tc>
          <w:tcPr>
            <w:tcW w:type="dxa" w:w="1440"/>
            <w:shd w:fill="FFFFFF" w:val="clear"/>
            <w:tcMar>
              <w:top w:type="dxa" w:w="90"/>
              <w:left w:type="dxa" w:w="130"/>
              <w:bottom w:type="dxa" w:w="90"/>
              <w:right w:type="dxa" w:w="130"/>
            </w:tcMar>
          </w:tcPr>
          <w:p>
            <w:pPr>
              <w:spacing w:after="0" w:line="260"/>
            </w:pPr>
            <w:r>
              <w:rPr>
                <w:rFonts w:ascii="Inter" w:cs="Inter" w:eastAsia="Inter" w:hAnsi="Inter"/>
                <w:color w:val="2E7D32"/>
                <w:sz w:val="18"/>
                <w:szCs w:val="18"/>
              </w:rPr>
              <w:t xml:space="preserve">Sí</w:t>
            </w:r>
          </w:p>
        </w:tc>
      </w:tr>
    </w:tbl>
    <w:p>
      <w:pPr>
        <w:spacing w:after="120" w:line="300"/>
      </w:pPr>
      <w:r>
        <w:rPr>
          <w:rFonts w:ascii="Inter" w:cs="Inter" w:eastAsia="Inter" w:hAnsi="Inter"/>
          <w:i/>
          <w:iCs/>
          <w:color w:val="6B6B6B"/>
          <w:sz w:val="20"/>
          <w:szCs w:val="20"/>
        </w:rPr>
        <w:t xml:space="preserve">Esta matriz es el punto de partida de toda ficha nueva. Un rol puede estrecharla. Ampliarla exige firma del manager y queda registrada como excepción con fecha de caducidad.</w:t>
      </w:r>
    </w:p>
    <w:p>
      <w:pPr>
        <w:pStyle w:val="Heading2"/>
        <w:spacing w:after="140" w:before="320"/>
      </w:pPr>
      <w:r>
        <w:rPr>
          <w:rFonts w:ascii="Inter" w:cs="Inter" w:eastAsia="Inter" w:hAnsi="Inter"/>
          <w:b/>
          <w:bCs/>
          <w:color w:val="111111"/>
          <w:sz w:val="24"/>
          <w:szCs w:val="24"/>
        </w:rPr>
        <w:t xml:space="preserve">Las seis reglas que la hacen funcionar</w:t>
      </w:r>
    </w:p>
    <w:p>
      <w:pPr>
        <w:pStyle w:val="ListParagraph"/>
        <w:numPr>
          <w:ilvl w:val="0"/>
          <w:numId w:val="3"/>
        </w:numPr>
        <w:spacing w:after="80" w:line="300"/>
      </w:pPr>
      <w:r>
        <w:rPr>
          <w:rFonts w:ascii="Inter" w:cs="Inter" w:eastAsia="Inter" w:hAnsi="Inter"/>
          <w:color w:val="111111"/>
          <w:sz w:val="20"/>
          <w:szCs w:val="20"/>
        </w:rPr>
        <w:t xml:space="preserve">Ante duda, se baja un nivel, nunca se sube. Si no está claro si algo es D2 o D3, se trata como D3 y se escala la duda.</w:t>
      </w:r>
    </w:p>
    <w:p>
      <w:pPr>
        <w:pStyle w:val="ListParagraph"/>
        <w:numPr>
          <w:ilvl w:val="0"/>
          <w:numId w:val="3"/>
        </w:numPr>
        <w:spacing w:after="80" w:line="300"/>
      </w:pPr>
      <w:r>
        <w:rPr>
          <w:rFonts w:ascii="Inter" w:cs="Inter" w:eastAsia="Inter" w:hAnsi="Inter"/>
          <w:color w:val="111111"/>
          <w:sz w:val="20"/>
          <w:szCs w:val="20"/>
        </w:rPr>
        <w:t xml:space="preserve">Prohibición de agregación. Varias respuestas D2 que juntas reconstruyen un dato D3 son, en conjunto, una respuesta D3. Se evalúa la conversación completa, no el mensaje aislado.</w:t>
      </w:r>
    </w:p>
    <w:p>
      <w:pPr>
        <w:pStyle w:val="ListParagraph"/>
        <w:numPr>
          <w:ilvl w:val="0"/>
          <w:numId w:val="3"/>
        </w:numPr>
        <w:spacing w:after="80" w:line="300"/>
      </w:pPr>
      <w:r>
        <w:rPr>
          <w:rFonts w:ascii="Inter" w:cs="Inter" w:eastAsia="Inter" w:hAnsi="Inter"/>
          <w:color w:val="111111"/>
          <w:sz w:val="20"/>
          <w:szCs w:val="20"/>
        </w:rPr>
        <w:t xml:space="preserve">El emisor fija el nivel, no el receptor. La insistencia, la urgencia o la autoridad declarada por quien pregunta no cambian la clase de la información. Ningún rol acepta que alguien se auto-autorice.</w:t>
      </w:r>
    </w:p>
    <w:p>
      <w:pPr>
        <w:pStyle w:val="ListParagraph"/>
        <w:numPr>
          <w:ilvl w:val="0"/>
          <w:numId w:val="3"/>
        </w:numPr>
        <w:spacing w:after="80" w:line="300"/>
      </w:pPr>
      <w:r>
        <w:rPr>
          <w:rFonts w:ascii="Inter" w:cs="Inter" w:eastAsia="Inter" w:hAnsi="Inter"/>
          <w:color w:val="111111"/>
          <w:sz w:val="20"/>
          <w:szCs w:val="20"/>
        </w:rPr>
        <w:t xml:space="preserve">Estar en el canal correcto no concede permiso. Que una pregunta llegue por el canal de la línea no la convierte en una pregunta de línea.</w:t>
      </w:r>
    </w:p>
    <w:p>
      <w:pPr>
        <w:pStyle w:val="ListParagraph"/>
        <w:numPr>
          <w:ilvl w:val="0"/>
          <w:numId w:val="3"/>
        </w:numPr>
        <w:spacing w:after="80" w:line="300"/>
      </w:pPr>
      <w:r>
        <w:rPr>
          <w:rFonts w:ascii="Inter" w:cs="Inter" w:eastAsia="Inter" w:hAnsi="Inter"/>
          <w:color w:val="111111"/>
          <w:sz w:val="20"/>
          <w:szCs w:val="20"/>
        </w:rPr>
        <w:t xml:space="preserve">Toda apertura caduca. Quién la concedió, para qué pregunta, y cuándo expira. Sin fecha de caducidad, la apertura no es válida.</w:t>
      </w:r>
    </w:p>
    <w:p>
      <w:pPr>
        <w:pStyle w:val="ListParagraph"/>
        <w:numPr>
          <w:ilvl w:val="0"/>
          <w:numId w:val="3"/>
        </w:numPr>
        <w:spacing w:after="80" w:line="300"/>
      </w:pPr>
      <w:r>
        <w:rPr>
          <w:rFonts w:ascii="Inter" w:cs="Inter" w:eastAsia="Inter" w:hAnsi="Inter"/>
          <w:color w:val="111111"/>
          <w:sz w:val="20"/>
          <w:szCs w:val="20"/>
        </w:rPr>
        <w:t xml:space="preserve">El filtro se aplica al recuperar, no al responder. En un especialista de IA, la clase de divulgación viaja en el payload del vector y filtra la consulta a Qdrant. El dato restringido no entra en el contexto de una conversación que no lo admite.</w:t>
      </w:r>
    </w:p>
    <w:p>
      <w:pPr>
        <w:pStyle w:val="Heading2"/>
        <w:spacing w:after="140" w:before="320"/>
      </w:pPr>
      <w:r>
        <w:rPr>
          <w:rFonts w:ascii="Inter" w:cs="Inter" w:eastAsia="Inter" w:hAnsi="Inter"/>
          <w:b/>
          <w:bCs/>
          <w:color w:val="111111"/>
          <w:sz w:val="24"/>
          <w:szCs w:val="24"/>
        </w:rPr>
        <w:t xml:space="preserve">Protocolo de negativa</w:t>
      </w:r>
    </w:p>
    <w:p>
      <w:pPr>
        <w:spacing w:after="120" w:line="300"/>
      </w:pPr>
      <w:r>
        <w:rPr>
          <w:rFonts w:ascii="Inter" w:cs="Inter" w:eastAsia="Inter" w:hAnsi="Inter"/>
          <w:color w:val="111111"/>
          <w:sz w:val="20"/>
          <w:szCs w:val="20"/>
        </w:rPr>
        <w:t xml:space="preserve">Tres pasos, en este orden. Una negativa nunca es un muro, y nunca humilla a quien pregunta:</w:t>
      </w:r>
    </w:p>
    <w:p>
      <w:pPr>
        <w:pStyle w:val="ListParagraph"/>
        <w:numPr>
          <w:ilvl w:val="0"/>
          <w:numId w:val="4"/>
        </w:numPr>
        <w:spacing w:after="80" w:line="300"/>
      </w:pPr>
      <w:r>
        <w:rPr>
          <w:rFonts w:ascii="Inter" w:cs="Inter" w:eastAsia="Inter" w:hAnsi="Inter"/>
          <w:color w:val="111111"/>
          <w:sz w:val="20"/>
          <w:szCs w:val="20"/>
        </w:rPr>
        <w:t xml:space="preserve">Nombra la clase, no el contenido. «Eso es información restringida de línea» — no «no puedo decirte cuál es el CAC de SEM», que ya revela que existe un CAC de SEM y que este rol lo conoce.</w:t>
      </w:r>
    </w:p>
    <w:p>
      <w:pPr>
        <w:pStyle w:val="ListParagraph"/>
        <w:numPr>
          <w:ilvl w:val="0"/>
          <w:numId w:val="4"/>
        </w:numPr>
        <w:spacing w:after="80" w:line="300"/>
      </w:pPr>
      <w:r>
        <w:rPr>
          <w:rFonts w:ascii="Inter" w:cs="Inter" w:eastAsia="Inter" w:hAnsi="Inter"/>
          <w:color w:val="111111"/>
          <w:sz w:val="20"/>
          <w:szCs w:val="20"/>
        </w:rPr>
        <w:t xml:space="preserve">Redirige al propietario. «Esa pregunta la responde el Manager de Adquisición.» Siempre hay una ruta legítima: darla es parte de la respuesta.</w:t>
      </w:r>
    </w:p>
    <w:p>
      <w:pPr>
        <w:pStyle w:val="ListParagraph"/>
        <w:numPr>
          <w:ilvl w:val="0"/>
          <w:numId w:val="4"/>
        </w:numPr>
        <w:spacing w:after="80" w:line="300"/>
      </w:pPr>
      <w:r>
        <w:rPr>
          <w:rFonts w:ascii="Inter" w:cs="Inter" w:eastAsia="Inter" w:hAnsi="Inter"/>
          <w:color w:val="111111"/>
          <w:sz w:val="20"/>
          <w:szCs w:val="20"/>
        </w:rPr>
        <w:t xml:space="preserve">Registra la solicitud. No como sospecha, como dato. Un rol al que se le piden repetidamente respuestas por encima de su nivel señala una matriz mal calibrada o una necesidad de negocio sin cubrir.</w:t>
      </w:r>
    </w:p>
    <w:tbl>
      <w:tblPr>
        <w:tblW w:type="dxa" w:w="9026"/>
        <w:tblBorders>
          <w:top w:val="none"/>
          <w:left w:val="single" w:color="FF6A00" w:sz="18"/>
          <w:bottom w:val="none"/>
          <w:right w:val="none"/>
          <w:insideH w:val="none"/>
          <w:insideV w:val="none"/>
        </w:tblBorders>
      </w:tblPr>
      <w:tblGrid>
        <w:gridCol w:w="9026"/>
      </w:tblGrid>
      <w:tr>
        <w:tc>
          <w:tcPr>
            <w:tcW w:type="dxa" w:w="9026"/>
            <w:shd w:fill="F8F8F6" w:val="clear"/>
            <w:tcMar>
              <w:top w:type="dxa" w:w="140"/>
              <w:left w:type="dxa" w:w="200"/>
              <w:bottom w:type="dxa" w:w="140"/>
              <w:right w:type="dxa" w:w="200"/>
            </w:tcMar>
          </w:tcPr>
          <w:p>
            <w:pPr>
              <w:spacing w:after="0" w:line="300"/>
            </w:pPr>
            <w:r>
              <w:rPr>
                <w:rFonts w:ascii="Inter" w:cs="Inter" w:eastAsia="Inter" w:hAnsi="Inter"/>
                <w:b/>
                <w:bCs/>
                <w:color w:val="FF6A00"/>
                <w:sz w:val="20"/>
                <w:szCs w:val="20"/>
              </w:rPr>
              <w:t xml:space="preserve">El principio que subyace. </w:t>
            </w:r>
            <w:r>
              <w:rPr>
                <w:rFonts w:ascii="Inter" w:cs="Inter" w:eastAsia="Inter" w:hAnsi="Inter"/>
                <w:color w:val="111111"/>
                <w:sz w:val="20"/>
                <w:szCs w:val="20"/>
              </w:rPr>
              <w:t xml:space="preserve">La persona que pregunta por algo que no le corresponde casi nunca está haciendo nada malo: está en la ruta equivocada. El sistema debe decírselo con respeto y darle la ruta correcta. Una negativa que avergüenza es un fallo de diseño, no una medida de seguridad.</w:t>
            </w:r>
          </w:p>
        </w:tc>
      </w:tr>
    </w:tbl>
    <w:p>
      <w:pPr>
        <w:pStyle w:val="Heading2"/>
        <w:spacing w:after="140" w:before="320"/>
      </w:pPr>
      <w:r>
        <w:rPr>
          <w:rFonts w:ascii="Inter" w:cs="Inter" w:eastAsia="Inter" w:hAnsi="Inter"/>
          <w:b/>
          <w:bCs/>
          <w:color w:val="111111"/>
          <w:sz w:val="24"/>
          <w:szCs w:val="24"/>
        </w:rPr>
        <w:t xml:space="preserve">Cuatro casos límite, resueltos</w:t>
      </w:r>
    </w:p>
    <w:tbl>
      <w:tblPr>
        <w:tblW w:type="dxa" w:w="9026"/>
        <w:tblBorders>
          <w:top w:val="single" w:color="DDDDD8" w:sz="4"/>
          <w:left w:val="single" w:color="DDDDD8" w:sz="4"/>
          <w:bottom w:val="single" w:color="DDDDD8" w:sz="4"/>
          <w:right w:val="single" w:color="DDDDD8" w:sz="4"/>
          <w:insideH w:val="single" w:color="DDDDD8" w:sz="4"/>
          <w:insideV w:val="single" w:color="DDDDD8" w:sz="4"/>
        </w:tblBorders>
      </w:tblPr>
      <w:tblGrid>
        <w:gridCol w:w="3200"/>
        <w:gridCol w:w="5826"/>
      </w:tblGrid>
      <w:tr>
        <w:trPr>
          <w:tblHeader/>
        </w:trPr>
        <w:tc>
          <w:tcPr>
            <w:tcW w:type="dxa" w:w="320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Situación</w:t>
            </w:r>
          </w:p>
        </w:tc>
        <w:tc>
          <w:tcPr>
            <w:tcW w:type="dxa" w:w="5826"/>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Resolución</w:t>
            </w:r>
          </w:p>
        </w:tc>
      </w:tr>
      <w:tr>
        <w:tc>
          <w:tcPr>
            <w:tcW w:type="dxa" w:w="32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Alguien sin relación con la línea pregunta por la estrategia de precios.</w:t>
            </w:r>
          </w:p>
        </w:tc>
        <w:tc>
          <w:tcPr>
            <w:tcW w:type="dxa" w:w="58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D4 × A2 = no se responde. Se nombra la clase («es información de Dirección»), se redirige a Dirección y se registra. No se da una versión «suavizada»: una respuesta parcial a una pregunta D4 sigue siendo una respuesta D4.</w:t>
            </w:r>
          </w:p>
        </w:tc>
      </w:tr>
      <w:tr>
        <w:tc>
          <w:tcPr>
            <w:tcW w:type="dxa" w:w="32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Un cliente pregunta qué resultados obtiene otro cliente del mismo sector.</w:t>
            </w:r>
          </w:p>
        </w:tc>
        <w:tc>
          <w:tcPr>
            <w:tcW w:type="dxa" w:w="58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D3 de una cuenta ajena × A1 = no se responde, en ningún grado de anonimización. Se ofrece la alternativa legítima: el patrón agregado ya publicado, que es D1.</w:t>
            </w:r>
          </w:p>
        </w:tc>
      </w:tr>
      <w:tr>
        <w:tc>
          <w:tcPr>
            <w:tcW w:type="dxa" w:w="32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El manager de otra línea pide el rendimiento por canal para su propio informe.</w:t>
            </w:r>
          </w:p>
        </w:tc>
        <w:tc>
          <w:tcPr>
            <w:tcW w:type="dxa" w:w="58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D3 × A2 = no se responde directamente. Se ruta por el PM Agéntico, conforme a la regla de paso de LAB 07, Cap. 3. La respuesta llegará; simplemente no por el atajo.</w:t>
            </w:r>
          </w:p>
        </w:tc>
      </w:tr>
      <w:tr>
        <w:tc>
          <w:tcPr>
            <w:tcW w:type="dxa" w:w="32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Alguien hace cinco preguntas operativas que juntas permiten calcular el margen.</w:t>
            </w:r>
          </w:p>
        </w:tc>
        <w:tc>
          <w:tcPr>
            <w:tcW w:type="dxa" w:w="58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Regla 2. A partir del punto en que la agregación reconstruye un D4, la conversación entera pasa a D4 y se escala. Este es el caso que ninguna lista blanca detecta.</w:t>
            </w:r>
          </w:p>
        </w:tc>
      </w:tr>
    </w:tbl>
    <w:p>
      <w:pPr>
        <w:pStyle w:val="Heading2"/>
        <w:spacing w:after="140" w:before="320"/>
      </w:pPr>
      <w:r>
        <w:rPr>
          <w:rFonts w:ascii="Inter" w:cs="Inter" w:eastAsia="Inter" w:hAnsi="Inter"/>
          <w:b/>
          <w:bCs/>
          <w:color w:val="111111"/>
          <w:sz w:val="24"/>
          <w:szCs w:val="24"/>
        </w:rPr>
        <w:t xml:space="preserve">Cómo se audita</w:t>
      </w:r>
    </w:p>
    <w:p>
      <w:pPr>
        <w:spacing w:after="120" w:line="300"/>
      </w:pPr>
      <w:r>
        <w:rPr>
          <w:rFonts w:ascii="Inter" w:cs="Inter" w:eastAsia="Inter" w:hAnsi="Inter"/>
          <w:color w:val="111111"/>
          <w:sz w:val="20"/>
          <w:szCs w:val="20"/>
        </w:rPr>
        <w:t xml:space="preserve">La matriz no es un documento de cumplimiento: genera tres métricas que se revisan con la misma frecuencia que el resto del reporting.</w:t>
      </w:r>
    </w:p>
    <w:p>
      <w:pPr>
        <w:pStyle w:val="ListParagraph"/>
        <w:numPr>
          <w:ilvl w:val="0"/>
          <w:numId w:val="5"/>
        </w:numPr>
        <w:spacing w:after="80" w:line="300"/>
      </w:pPr>
      <w:r>
        <w:rPr>
          <w:rFonts w:ascii="Inter" w:cs="Inter" w:eastAsia="Inter" w:hAnsi="Inter"/>
          <w:color w:val="111111"/>
          <w:sz w:val="20"/>
          <w:szCs w:val="20"/>
        </w:rPr>
        <w:t xml:space="preserve">Solicitudes por encima de nivel, por rol y por audiencia. Un pico señala una necesidad de información real que la organización no está sirviendo por la ruta correcta.</w:t>
      </w:r>
    </w:p>
    <w:p>
      <w:pPr>
        <w:pStyle w:val="ListParagraph"/>
        <w:numPr>
          <w:ilvl w:val="0"/>
          <w:numId w:val="5"/>
        </w:numPr>
        <w:spacing w:after="80" w:line="300"/>
      </w:pPr>
      <w:r>
        <w:rPr>
          <w:rFonts w:ascii="Inter" w:cs="Inter" w:eastAsia="Inter" w:hAnsi="Inter"/>
          <w:color w:val="111111"/>
          <w:sz w:val="20"/>
          <w:szCs w:val="20"/>
        </w:rPr>
        <w:t xml:space="preserve">Aperturas D4 concedidas y no cerradas al vencimiento. Debe tender a cero. Cualquier valor sostenido por encima de cero es deuda de gobernanza.</w:t>
      </w:r>
    </w:p>
    <w:p>
      <w:pPr>
        <w:pStyle w:val="ListParagraph"/>
        <w:numPr>
          <w:ilvl w:val="0"/>
          <w:numId w:val="5"/>
        </w:numPr>
        <w:spacing w:after="80" w:line="300"/>
      </w:pPr>
      <w:r>
        <w:rPr>
          <w:rFonts w:ascii="Inter" w:cs="Inter" w:eastAsia="Inter" w:hAnsi="Inter"/>
          <w:color w:val="111111"/>
          <w:sz w:val="20"/>
          <w:szCs w:val="20"/>
        </w:rPr>
        <w:t xml:space="preserve">Tasa de negativa por rol. Una tasa muy alta indica matriz demasiado estrecha para el trabajo real; una tasa de cero indica que nadie está probando los límites, lo que rara vez es cierto y suele significar que el registro no funciona.</w:t>
      </w:r>
    </w:p>
    <w:p>
      <w:r>
        <w:br w:type="page"/>
      </w:r>
    </w:p>
    <w:p>
      <w:pPr>
        <w:pStyle w:val="Heading1"/>
        <w:pBdr>
          <w:bottom w:val="single" w:color="FF6A00" w:sz="12" w:space="6"/>
        </w:pBdr>
        <w:spacing w:after="200" w:before="400"/>
      </w:pPr>
      <w:r>
        <w:rPr>
          <w:rFonts w:ascii="Inter" w:cs="Inter" w:eastAsia="Inter" w:hAnsi="Inter"/>
          <w:b/>
          <w:bCs/>
          <w:color w:val="111111"/>
          <w:sz w:val="30"/>
          <w:szCs w:val="30"/>
        </w:rPr>
        <w:t xml:space="preserve">III · Permisos de escritura</w:t>
      </w:r>
    </w:p>
    <w:p>
      <w:pPr>
        <w:spacing w:after="120" w:line="300"/>
      </w:pPr>
      <w:r>
        <w:rPr>
          <w:rFonts w:ascii="Inter" w:cs="Inter" w:eastAsia="Inter" w:hAnsi="Inter"/>
          <w:color w:val="111111"/>
          <w:sz w:val="20"/>
          <w:szCs w:val="20"/>
        </w:rPr>
        <w:t xml:space="preserve">Es el campo B6. Se declara por sistema, nunca una sola vez para todo el rol: el mismo especialista suele ser W0 en la base de datos y W2 en la plataforma de anuncios.</w:t>
      </w:r>
    </w:p>
    <w:tbl>
      <w:tblPr>
        <w:tblW w:type="dxa" w:w="9026"/>
        <w:tblBorders>
          <w:top w:val="single" w:color="DDDDD8" w:sz="4"/>
          <w:left w:val="single" w:color="DDDDD8" w:sz="4"/>
          <w:bottom w:val="single" w:color="DDDDD8" w:sz="4"/>
          <w:right w:val="single" w:color="DDDDD8" w:sz="4"/>
          <w:insideH w:val="single" w:color="DDDDD8" w:sz="4"/>
          <w:insideV w:val="single" w:color="DDDDD8" w:sz="4"/>
        </w:tblBorders>
      </w:tblPr>
      <w:tblGrid>
        <w:gridCol w:w="900"/>
        <w:gridCol w:w="2400"/>
        <w:gridCol w:w="5726"/>
      </w:tblGrid>
      <w:tr>
        <w:trPr>
          <w:tblHeader/>
        </w:trPr>
        <w:tc>
          <w:tcPr>
            <w:tcW w:type="dxa" w:w="90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Nivel</w:t>
            </w:r>
          </w:p>
        </w:tc>
        <w:tc>
          <w:tcPr>
            <w:tcW w:type="dxa" w:w="240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Nombre</w:t>
            </w:r>
          </w:p>
        </w:tc>
        <w:tc>
          <w:tcPr>
            <w:tcW w:type="dxa" w:w="5726"/>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Qué permite</w:t>
            </w:r>
          </w:p>
        </w:tc>
      </w:tr>
      <w:tr>
        <w:tc>
          <w:tcPr>
            <w:tcW w:type="dxa" w:w="900"/>
            <w:shd w:fill="FFFFFF" w:val="clear"/>
            <w:tcMar>
              <w:top w:type="dxa" w:w="90"/>
              <w:left w:type="dxa" w:w="130"/>
              <w:bottom w:type="dxa" w:w="90"/>
              <w:right w:type="dxa" w:w="130"/>
            </w:tcMar>
          </w:tcPr>
          <w:p>
            <w:pPr>
              <w:spacing w:after="0" w:line="260"/>
            </w:pPr>
            <w:r>
              <w:rPr>
                <w:rFonts w:ascii="Inter" w:cs="Inter" w:eastAsia="Inter" w:hAnsi="Inter"/>
                <w:b/>
                <w:bCs/>
                <w:color w:val="7B4DFF"/>
                <w:sz w:val="18"/>
                <w:szCs w:val="18"/>
              </w:rPr>
              <w:t xml:space="preserve">W0</w:t>
            </w:r>
          </w:p>
        </w:tc>
        <w:tc>
          <w:tcPr>
            <w:tcW w:type="dxa" w:w="24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Lectura</w:t>
            </w:r>
          </w:p>
        </w:tc>
        <w:tc>
          <w:tcPr>
            <w:tcW w:type="dxa" w:w="57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Consulta. No modifica nada, en ningún estado.</w:t>
            </w:r>
          </w:p>
        </w:tc>
      </w:tr>
      <w:tr>
        <w:tc>
          <w:tcPr>
            <w:tcW w:type="dxa" w:w="900"/>
            <w:shd w:fill="FFFFFF" w:val="clear"/>
            <w:tcMar>
              <w:top w:type="dxa" w:w="90"/>
              <w:left w:type="dxa" w:w="130"/>
              <w:bottom w:type="dxa" w:w="90"/>
              <w:right w:type="dxa" w:w="130"/>
            </w:tcMar>
          </w:tcPr>
          <w:p>
            <w:pPr>
              <w:spacing w:after="0" w:line="260"/>
            </w:pPr>
            <w:r>
              <w:rPr>
                <w:rFonts w:ascii="Inter" w:cs="Inter" w:eastAsia="Inter" w:hAnsi="Inter"/>
                <w:b/>
                <w:bCs/>
                <w:color w:val="7B4DFF"/>
                <w:sz w:val="18"/>
                <w:szCs w:val="18"/>
              </w:rPr>
              <w:t xml:space="preserve">W1</w:t>
            </w:r>
          </w:p>
        </w:tc>
        <w:tc>
          <w:tcPr>
            <w:tcW w:type="dxa" w:w="24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Borrador</w:t>
            </w:r>
          </w:p>
        </w:tc>
        <w:tc>
          <w:tcPr>
            <w:tcW w:type="dxa" w:w="57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Crea contenido en estado no publicado. Nadie fuera del rol lo ve sin acción de otro.</w:t>
            </w:r>
          </w:p>
        </w:tc>
      </w:tr>
      <w:tr>
        <w:tc>
          <w:tcPr>
            <w:tcW w:type="dxa" w:w="900"/>
            <w:shd w:fill="FFFFFF" w:val="clear"/>
            <w:tcMar>
              <w:top w:type="dxa" w:w="90"/>
              <w:left w:type="dxa" w:w="130"/>
              <w:bottom w:type="dxa" w:w="90"/>
              <w:right w:type="dxa" w:w="130"/>
            </w:tcMar>
          </w:tcPr>
          <w:p>
            <w:pPr>
              <w:spacing w:after="0" w:line="260"/>
            </w:pPr>
            <w:r>
              <w:rPr>
                <w:rFonts w:ascii="Inter" w:cs="Inter" w:eastAsia="Inter" w:hAnsi="Inter"/>
                <w:b/>
                <w:bCs/>
                <w:color w:val="7B4DFF"/>
                <w:sz w:val="18"/>
                <w:szCs w:val="18"/>
              </w:rPr>
              <w:t xml:space="preserve">W2</w:t>
            </w:r>
          </w:p>
        </w:tc>
        <w:tc>
          <w:tcPr>
            <w:tcW w:type="dxa" w:w="24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Publicación interna</w:t>
            </w:r>
          </w:p>
        </w:tc>
        <w:tc>
          <w:tcPr>
            <w:tcW w:type="dxa" w:w="57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Escribe en sistemas internos: memoria, reportes, tickets. Reversible y trazable.</w:t>
            </w:r>
          </w:p>
        </w:tc>
      </w:tr>
      <w:tr>
        <w:tc>
          <w:tcPr>
            <w:tcW w:type="dxa" w:w="900"/>
            <w:shd w:fill="FFFFFF" w:val="clear"/>
            <w:tcMar>
              <w:top w:type="dxa" w:w="90"/>
              <w:left w:type="dxa" w:w="130"/>
              <w:bottom w:type="dxa" w:w="90"/>
              <w:right w:type="dxa" w:w="130"/>
            </w:tcMar>
          </w:tcPr>
          <w:p>
            <w:pPr>
              <w:spacing w:after="0" w:line="260"/>
            </w:pPr>
            <w:r>
              <w:rPr>
                <w:rFonts w:ascii="Inter" w:cs="Inter" w:eastAsia="Inter" w:hAnsi="Inter"/>
                <w:b/>
                <w:bCs/>
                <w:color w:val="7B4DFF"/>
                <w:sz w:val="18"/>
                <w:szCs w:val="18"/>
              </w:rPr>
              <w:t xml:space="preserve">W3</w:t>
            </w:r>
          </w:p>
        </w:tc>
        <w:tc>
          <w:tcPr>
            <w:tcW w:type="dxa" w:w="24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Publicación externa</w:t>
            </w:r>
          </w:p>
        </w:tc>
        <w:tc>
          <w:tcPr>
            <w:tcW w:type="dxa" w:w="57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Publica de cara a cliente o al público. Exige aprobación previa registrada, sin excepción.</w:t>
            </w:r>
          </w:p>
        </w:tc>
      </w:tr>
      <w:tr>
        <w:tc>
          <w:tcPr>
            <w:tcW w:type="dxa" w:w="900"/>
            <w:shd w:fill="FFFFFF" w:val="clear"/>
            <w:tcMar>
              <w:top w:type="dxa" w:w="90"/>
              <w:left w:type="dxa" w:w="130"/>
              <w:bottom w:type="dxa" w:w="90"/>
              <w:right w:type="dxa" w:w="130"/>
            </w:tcMar>
          </w:tcPr>
          <w:p>
            <w:pPr>
              <w:spacing w:after="0" w:line="260"/>
            </w:pPr>
            <w:r>
              <w:rPr>
                <w:rFonts w:ascii="Inter" w:cs="Inter" w:eastAsia="Inter" w:hAnsi="Inter"/>
                <w:b/>
                <w:bCs/>
                <w:color w:val="7B4DFF"/>
                <w:sz w:val="18"/>
                <w:szCs w:val="18"/>
              </w:rPr>
              <w:t xml:space="preserve">W4</w:t>
            </w:r>
          </w:p>
        </w:tc>
        <w:tc>
          <w:tcPr>
            <w:tcW w:type="dxa" w:w="24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Estructura</w:t>
            </w:r>
          </w:p>
        </w:tc>
        <w:tc>
          <w:tcPr>
            <w:tcW w:type="dxa" w:w="57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Modifica esquemas, reglas, segmentaciones o permisos de otros. Cambia lo que los demás dan por cierto.</w:t>
            </w:r>
          </w:p>
        </w:tc>
      </w:tr>
    </w:tbl>
    <w:p>
      <w:pPr>
        <w:pStyle w:val="Heading2"/>
        <w:spacing w:after="140" w:before="320"/>
      </w:pPr>
      <w:r>
        <w:rPr>
          <w:rFonts w:ascii="Inter" w:cs="Inter" w:eastAsia="Inter" w:hAnsi="Inter"/>
          <w:b/>
          <w:bCs/>
          <w:color w:val="111111"/>
          <w:sz w:val="24"/>
          <w:szCs w:val="24"/>
        </w:rPr>
        <w:t xml:space="preserve">Cinco reglas de asignación</w:t>
      </w:r>
    </w:p>
    <w:p>
      <w:pPr>
        <w:pStyle w:val="ListParagraph"/>
        <w:numPr>
          <w:ilvl w:val="0"/>
          <w:numId w:val="5"/>
        </w:numPr>
        <w:spacing w:after="80" w:line="300"/>
      </w:pPr>
      <w:r>
        <w:rPr>
          <w:rFonts w:ascii="Inter" w:cs="Inter" w:eastAsia="Inter" w:hAnsi="Inter"/>
          <w:color w:val="111111"/>
          <w:sz w:val="20"/>
          <w:szCs w:val="20"/>
        </w:rPr>
        <w:t xml:space="preserve">Privilegio mínimo, sin excepción. Cada rol se conecta a cada sistema con el nivel mínimo que necesita, nunca con el del administrador — es la aplicación literal de LAB 08, Cap. 12.</w:t>
      </w:r>
    </w:p>
    <w:p>
      <w:pPr>
        <w:pStyle w:val="ListParagraph"/>
        <w:numPr>
          <w:ilvl w:val="0"/>
          <w:numId w:val="5"/>
        </w:numPr>
        <w:spacing w:after="80" w:line="300"/>
      </w:pPr>
      <w:r>
        <w:rPr>
          <w:rFonts w:ascii="Inter" w:cs="Inter" w:eastAsia="Inter" w:hAnsi="Inter"/>
          <w:color w:val="111111"/>
          <w:sz w:val="20"/>
          <w:szCs w:val="20"/>
        </w:rPr>
        <w:t xml:space="preserve">Ningún rol se otorga W3 a sí mismo. La publicación externa siempre la abre un nivel jerárquico por encima.</w:t>
      </w:r>
    </w:p>
    <w:p>
      <w:pPr>
        <w:pStyle w:val="ListParagraph"/>
        <w:numPr>
          <w:ilvl w:val="0"/>
          <w:numId w:val="5"/>
        </w:numPr>
        <w:spacing w:after="80" w:line="300"/>
      </w:pPr>
      <w:r>
        <w:rPr>
          <w:rFonts w:ascii="Inter" w:cs="Inter" w:eastAsia="Inter" w:hAnsi="Inter"/>
          <w:color w:val="111111"/>
          <w:sz w:val="20"/>
          <w:szCs w:val="20"/>
        </w:rPr>
        <w:t xml:space="preserve">W4 implica riesgo alto en D2 automáticamente. Un error estructural no se queda en su rol: contamina a todos los que dependen de él. Es la razón exacta por la que un especialista de datos sale con riesgo alto pese a no gastar un euro.</w:t>
      </w:r>
    </w:p>
    <w:p>
      <w:pPr>
        <w:pStyle w:val="ListParagraph"/>
        <w:numPr>
          <w:ilvl w:val="0"/>
          <w:numId w:val="5"/>
        </w:numPr>
        <w:spacing w:after="80" w:line="300"/>
      </w:pPr>
      <w:r>
        <w:rPr>
          <w:rFonts w:ascii="Inter" w:cs="Inter" w:eastAsia="Inter" w:hAnsi="Inter"/>
          <w:color w:val="111111"/>
          <w:sz w:val="20"/>
          <w:szCs w:val="20"/>
        </w:rPr>
        <w:t xml:space="preserve">Ninguna escritura sin log. Un cambio sin registro es memoria organizativa que la empresa pagó y decidió no conservar.</w:t>
      </w:r>
    </w:p>
    <w:p>
      <w:pPr>
        <w:pStyle w:val="ListParagraph"/>
        <w:numPr>
          <w:ilvl w:val="0"/>
          <w:numId w:val="5"/>
        </w:numPr>
        <w:spacing w:after="80" w:line="300"/>
      </w:pPr>
      <w:r>
        <w:rPr>
          <w:rFonts w:ascii="Inter" w:cs="Inter" w:eastAsia="Inter" w:hAnsi="Inter"/>
          <w:color w:val="111111"/>
          <w:sz w:val="20"/>
          <w:szCs w:val="20"/>
        </w:rPr>
        <w:t xml:space="preserve">El borrado permanente no está en la escala. No es un nivel que ninguna ficha conceda. Se archiva, no se destruye — la historia nunca desaparece, conforme al Principio 3.</w:t>
      </w:r>
    </w:p>
    <w:p>
      <w:pPr>
        <w:pStyle w:val="Heading2"/>
        <w:spacing w:after="140" w:before="320"/>
      </w:pPr>
      <w:r>
        <w:rPr>
          <w:rFonts w:ascii="Inter" w:cs="Inter" w:eastAsia="Inter" w:hAnsi="Inter"/>
          <w:b/>
          <w:bCs/>
          <w:color w:val="111111"/>
          <w:sz w:val="24"/>
          <w:szCs w:val="24"/>
        </w:rPr>
        <w:t xml:space="preserve">Formato obligatorio de declaración</w:t>
      </w:r>
    </w:p>
    <w:tbl>
      <w:tblPr>
        <w:tblW w:type="dxa" w:w="9026"/>
        <w:tblBorders>
          <w:top w:val="single" w:color="DDDDD8" w:sz="4"/>
          <w:left w:val="single" w:color="DDDDD8" w:sz="4"/>
          <w:bottom w:val="single" w:color="DDDDD8" w:sz="4"/>
          <w:right w:val="single" w:color="DDDDD8" w:sz="4"/>
          <w:insideH w:val="single" w:color="DDDDD8" w:sz="4"/>
          <w:insideV w:val="single" w:color="DDDDD8" w:sz="4"/>
        </w:tblBorders>
      </w:tblPr>
      <w:tblGrid>
        <w:gridCol w:w="2300"/>
        <w:gridCol w:w="900"/>
        <w:gridCol w:w="3400"/>
        <w:gridCol w:w="2426"/>
      </w:tblGrid>
      <w:tr>
        <w:trPr>
          <w:tblHeader/>
        </w:trPr>
        <w:tc>
          <w:tcPr>
            <w:tcW w:type="dxa" w:w="230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Sistema</w:t>
            </w:r>
          </w:p>
        </w:tc>
        <w:tc>
          <w:tcPr>
            <w:tcW w:type="dxa" w:w="90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Nivel</w:t>
            </w:r>
          </w:p>
        </w:tc>
        <w:tc>
          <w:tcPr>
            <w:tcW w:type="dxa" w:w="340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Alcance concreto</w:t>
            </w:r>
          </w:p>
        </w:tc>
        <w:tc>
          <w:tcPr>
            <w:tcW w:type="dxa" w:w="2426"/>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Quién lo aprobó</w:t>
            </w:r>
          </w:p>
        </w:tc>
      </w:tr>
      <w:tr>
        <w:tc>
          <w:tcPr>
            <w:tcW w:type="dxa" w:w="2300"/>
            <w:shd w:fill="FFFFFF" w:val="clear"/>
            <w:tcMar>
              <w:top w:type="dxa" w:w="90"/>
              <w:left w:type="dxa" w:w="130"/>
              <w:bottom w:type="dxa" w:w="90"/>
              <w:right w:type="dxa" w:w="130"/>
            </w:tcMar>
          </w:tcPr>
          <w:p>
            <w:pPr>
              <w:spacing w:after="0" w:line="260"/>
            </w:pPr>
            <w:r>
              <w:rPr>
                <w:rFonts w:ascii="Inter" w:cs="Inter" w:eastAsia="Inter" w:hAnsi="Inter"/>
                <w:i/>
                <w:iCs/>
                <w:color w:val="111111"/>
                <w:sz w:val="18"/>
                <w:szCs w:val="18"/>
              </w:rPr>
              <w:t xml:space="preserve">Ej. CMS</w:t>
            </w:r>
          </w:p>
        </w:tc>
        <w:tc>
          <w:tcPr>
            <w:tcW w:type="dxa" w:w="9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W1</w:t>
            </w:r>
          </w:p>
        </w:tc>
        <w:tc>
          <w:tcPr>
            <w:tcW w:type="dxa" w:w="34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Solo borradores de blog</w:t>
            </w:r>
          </w:p>
        </w:tc>
        <w:tc>
          <w:tcPr>
            <w:tcW w:type="dxa" w:w="24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Manager de Adquisición</w:t>
            </w:r>
          </w:p>
        </w:tc>
      </w:tr>
      <w:tr>
        <w:tc>
          <w:tcPr>
            <w:tcW w:type="dxa" w:w="2300"/>
            <w:shd w:fill="FFFFFF" w:val="clear"/>
            <w:tcMar>
              <w:top w:type="dxa" w:w="90"/>
              <w:left w:type="dxa" w:w="130"/>
              <w:bottom w:type="dxa" w:w="90"/>
              <w:right w:type="dxa" w:w="130"/>
            </w:tcMar>
          </w:tcPr>
          <w:p>
            <w:pPr>
              <w:spacing w:after="0" w:line="260"/>
            </w:pPr>
            <w:r>
              <w:rPr>
                <w:rFonts w:ascii="Inter" w:cs="Inter" w:eastAsia="Inter" w:hAnsi="Inter"/>
                <w:i/>
                <w:iCs/>
                <w:color w:val="111111"/>
                <w:sz w:val="18"/>
                <w:szCs w:val="18"/>
              </w:rPr>
              <w:t xml:space="preserve">Ej. Plataforma de anuncios</w:t>
            </w:r>
          </w:p>
        </w:tc>
        <w:tc>
          <w:tcPr>
            <w:tcW w:type="dxa" w:w="9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W2</w:t>
            </w:r>
          </w:p>
        </w:tc>
        <w:tc>
          <w:tcPr>
            <w:tcW w:type="dxa" w:w="34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Pujas y pausas dentro del presupuesto aprobado</w:t>
            </w:r>
          </w:p>
        </w:tc>
        <w:tc>
          <w:tcPr>
            <w:tcW w:type="dxa" w:w="24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Manager de Adquisición</w:t>
            </w:r>
          </w:p>
        </w:tc>
      </w:tr>
      <w:tr>
        <w:tc>
          <w:tcPr>
            <w:tcW w:type="dxa" w:w="2300"/>
            <w:shd w:fill="FFFFFF" w:val="clear"/>
            <w:tcMar>
              <w:top w:type="dxa" w:w="90"/>
              <w:left w:type="dxa" w:w="130"/>
              <w:bottom w:type="dxa" w:w="90"/>
              <w:right w:type="dxa" w:w="130"/>
            </w:tcMar>
          </w:tcPr>
          <w:p>
            <w:pPr>
              <w:spacing w:after="0" w:line="260"/>
            </w:pPr>
            <w:r>
              <w:rPr>
                <w:rFonts w:ascii="Inter" w:cs="Inter" w:eastAsia="Inter" w:hAnsi="Inter"/>
                <w:i/>
                <w:iCs/>
                <w:color w:val="111111"/>
                <w:sz w:val="18"/>
                <w:szCs w:val="18"/>
              </w:rPr>
              <w:t xml:space="preserve">Ej. PostgreSQL</w:t>
            </w:r>
          </w:p>
        </w:tc>
        <w:tc>
          <w:tcPr>
            <w:tcW w:type="dxa" w:w="9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W0</w:t>
            </w:r>
          </w:p>
        </w:tc>
        <w:tc>
          <w:tcPr>
            <w:tcW w:type="dxa" w:w="34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Lectura de tablas de rendimiento</w:t>
            </w:r>
          </w:p>
        </w:tc>
        <w:tc>
          <w:tcPr>
            <w:tcW w:type="dxa" w:w="24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w:t>
            </w:r>
          </w:p>
        </w:tc>
      </w:tr>
    </w:tbl>
    <w:p>
      <w:r>
        <w:br w:type="page"/>
      </w:r>
    </w:p>
    <w:p>
      <w:pPr>
        <w:pStyle w:val="Heading1"/>
        <w:pBdr>
          <w:bottom w:val="single" w:color="FF6A00" w:sz="12" w:space="6"/>
        </w:pBdr>
        <w:spacing w:after="200" w:before="400"/>
      </w:pPr>
      <w:r>
        <w:rPr>
          <w:rFonts w:ascii="Inter" w:cs="Inter" w:eastAsia="Inter" w:hAnsi="Inter"/>
          <w:b/>
          <w:bCs/>
          <w:color w:val="111111"/>
          <w:sz w:val="30"/>
          <w:szCs w:val="30"/>
        </w:rPr>
        <w:t xml:space="preserve">IV · Competencias</w:t>
      </w:r>
    </w:p>
    <w:p>
      <w:pPr>
        <w:spacing w:after="120" w:line="300"/>
      </w:pPr>
      <w:r>
        <w:rPr>
          <w:rFonts w:ascii="Inter" w:cs="Inter" w:eastAsia="Inter" w:hAnsi="Inter"/>
          <w:color w:val="111111"/>
          <w:sz w:val="20"/>
          <w:szCs w:val="20"/>
        </w:rPr>
        <w:t xml:space="preserve">Es el campo D1. Máximo siete. Una lista de quince competencias no describe un rol: describe una vacante mal escrita.</w:t>
      </w:r>
    </w:p>
    <w:p>
      <w:pPr>
        <w:pStyle w:val="Heading2"/>
        <w:spacing w:after="140" w:before="320"/>
      </w:pPr>
      <w:r>
        <w:rPr>
          <w:rFonts w:ascii="Inter" w:cs="Inter" w:eastAsia="Inter" w:hAnsi="Inter"/>
          <w:b/>
          <w:bCs/>
          <w:color w:val="111111"/>
          <w:sz w:val="24"/>
          <w:szCs w:val="24"/>
        </w:rPr>
        <w:t xml:space="preserve">Dos categorías, no una</w:t>
      </w:r>
    </w:p>
    <w:tbl>
      <w:tblPr>
        <w:tblW w:type="dxa" w:w="9026"/>
        <w:tblBorders>
          <w:top w:val="single" w:color="DDDDD8" w:sz="4"/>
          <w:left w:val="single" w:color="DDDDD8" w:sz="4"/>
          <w:bottom w:val="single" w:color="DDDDD8" w:sz="4"/>
          <w:right w:val="single" w:color="DDDDD8" w:sz="4"/>
          <w:insideH w:val="single" w:color="DDDDD8" w:sz="4"/>
          <w:insideV w:val="single" w:color="DDDDD8" w:sz="4"/>
        </w:tblBorders>
      </w:tblPr>
      <w:tblGrid>
        <w:gridCol w:w="2600"/>
        <w:gridCol w:w="3200"/>
        <w:gridCol w:w="3226"/>
      </w:tblGrid>
      <w:tr>
        <w:trPr>
          <w:tblHeader/>
        </w:trPr>
        <w:tc>
          <w:tcPr>
            <w:tcW w:type="dxa" w:w="260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Categoría</w:t>
            </w:r>
          </w:p>
        </w:tc>
        <w:tc>
          <w:tcPr>
            <w:tcW w:type="dxa" w:w="320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Qué es</w:t>
            </w:r>
          </w:p>
        </w:tc>
        <w:tc>
          <w:tcPr>
            <w:tcW w:type="dxa" w:w="3226"/>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Ejemplos</w:t>
            </w:r>
          </w:p>
        </w:tc>
      </w:tr>
      <w:tr>
        <w:tc>
          <w:tcPr>
            <w:tcW w:type="dxa" w:w="26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Competencias de dominio</w:t>
            </w:r>
          </w:p>
        </w:tc>
        <w:tc>
          <w:tcPr>
            <w:tcW w:type="dxa" w:w="32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Lo que el rol sabe del negocio. Transferible entre herramientas y entre empresas.</w:t>
            </w:r>
          </w:p>
        </w:tc>
        <w:tc>
          <w:tcPr>
            <w:tcW w:type="dxa" w:w="32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Análisis de intención de búsqueda, diseño de segmentación, lectura de atribución</w:t>
            </w:r>
          </w:p>
        </w:tc>
      </w:tr>
      <w:tr>
        <w:tc>
          <w:tcPr>
            <w:tcW w:type="dxa" w:w="26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Capacidades de sistema</w:t>
            </w:r>
          </w:p>
        </w:tc>
        <w:tc>
          <w:tcPr>
            <w:tcW w:type="dxa" w:w="32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Qué sabe operar. Sustituible: la herramienta cambia, el dominio no.</w:t>
            </w:r>
          </w:p>
        </w:tc>
        <w:tc>
          <w:tcPr>
            <w:tcW w:type="dxa" w:w="32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Search Console, n8n, Power BI, plataforma de anuncios</w:t>
            </w:r>
          </w:p>
        </w:tc>
      </w:tr>
    </w:tbl>
    <w:tbl>
      <w:tblPr>
        <w:tblW w:type="dxa" w:w="9026"/>
        <w:tblBorders>
          <w:top w:val="none"/>
          <w:left w:val="single" w:color="FF6A00" w:sz="18"/>
          <w:bottom w:val="none"/>
          <w:right w:val="none"/>
          <w:insideH w:val="none"/>
          <w:insideV w:val="none"/>
        </w:tblBorders>
      </w:tblPr>
      <w:tblGrid>
        <w:gridCol w:w="9026"/>
      </w:tblGrid>
      <w:tr>
        <w:tc>
          <w:tcPr>
            <w:tcW w:type="dxa" w:w="9026"/>
            <w:shd w:fill="F8F8F6" w:val="clear"/>
            <w:tcMar>
              <w:top w:type="dxa" w:w="140"/>
              <w:left w:type="dxa" w:w="200"/>
              <w:bottom w:type="dxa" w:w="140"/>
              <w:right w:type="dxa" w:w="200"/>
            </w:tcMar>
          </w:tcPr>
          <w:p>
            <w:pPr>
              <w:spacing w:after="0" w:line="300"/>
            </w:pPr>
            <w:r>
              <w:rPr>
                <w:rFonts w:ascii="Inter" w:cs="Inter" w:eastAsia="Inter" w:hAnsi="Inter"/>
                <w:b/>
                <w:bCs/>
                <w:color w:val="FF6A00"/>
                <w:sz w:val="20"/>
                <w:szCs w:val="20"/>
              </w:rPr>
              <w:t xml:space="preserve">El conocimiento vale más que la herramienta. </w:t>
            </w:r>
            <w:r>
              <w:rPr>
                <w:rFonts w:ascii="Inter" w:cs="Inter" w:eastAsia="Inter" w:hAnsi="Inter"/>
                <w:color w:val="111111"/>
                <w:sz w:val="20"/>
                <w:szCs w:val="20"/>
              </w:rPr>
              <w:t xml:space="preserve">Si una ficha tiene más capacidades de sistema que competencias de dominio, el rol está definido por su stack y morirá con él. La proporción sana es al menos dos de dominio por cada una de sistema.</w:t>
            </w:r>
          </w:p>
        </w:tc>
      </w:tr>
    </w:tbl>
    <w:p>
      <w:pPr>
        <w:pStyle w:val="Heading2"/>
        <w:spacing w:after="140" w:before="320"/>
      </w:pPr>
      <w:r>
        <w:rPr>
          <w:rFonts w:ascii="Inter" w:cs="Inter" w:eastAsia="Inter" w:hAnsi="Inter"/>
          <w:b/>
          <w:bCs/>
          <w:color w:val="111111"/>
          <w:sz w:val="24"/>
          <w:szCs w:val="24"/>
        </w:rPr>
        <w:t xml:space="preserve">Escala de nivel, con criterio de evidencia</w:t>
      </w:r>
    </w:p>
    <w:p>
      <w:pPr>
        <w:spacing w:after="120" w:line="300"/>
      </w:pPr>
      <w:r>
        <w:rPr>
          <w:rFonts w:ascii="Inter" w:cs="Inter" w:eastAsia="Inter" w:hAnsi="Inter"/>
          <w:color w:val="111111"/>
          <w:sz w:val="20"/>
          <w:szCs w:val="20"/>
        </w:rPr>
        <w:t xml:space="preserve">El nivel no se declara: se acredita. La columna de evidencia es lo que impide que esta escala se convierta en autoevaluación.</w:t>
      </w:r>
    </w:p>
    <w:tbl>
      <w:tblPr>
        <w:tblW w:type="dxa" w:w="9026"/>
        <w:tblBorders>
          <w:top w:val="single" w:color="DDDDD8" w:sz="4"/>
          <w:left w:val="single" w:color="DDDDD8" w:sz="4"/>
          <w:bottom w:val="single" w:color="DDDDD8" w:sz="4"/>
          <w:right w:val="single" w:color="DDDDD8" w:sz="4"/>
          <w:insideH w:val="single" w:color="DDDDD8" w:sz="4"/>
          <w:insideV w:val="single" w:color="DDDDD8" w:sz="4"/>
        </w:tblBorders>
      </w:tblPr>
      <w:tblGrid>
        <w:gridCol w:w="900"/>
        <w:gridCol w:w="2400"/>
        <w:gridCol w:w="2600"/>
        <w:gridCol w:w="3126"/>
      </w:tblGrid>
      <w:tr>
        <w:trPr>
          <w:tblHeader/>
        </w:trPr>
        <w:tc>
          <w:tcPr>
            <w:tcW w:type="dxa" w:w="90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Nivel</w:t>
            </w:r>
          </w:p>
        </w:tc>
        <w:tc>
          <w:tcPr>
            <w:tcW w:type="dxa" w:w="240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Significa</w:t>
            </w:r>
          </w:p>
        </w:tc>
        <w:tc>
          <w:tcPr>
            <w:tcW w:type="dxa" w:w="260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Qué puede hacer</w:t>
            </w:r>
          </w:p>
        </w:tc>
        <w:tc>
          <w:tcPr>
            <w:tcW w:type="dxa" w:w="3126"/>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Evidencia exigida</w:t>
            </w:r>
          </w:p>
        </w:tc>
      </w:tr>
      <w:tr>
        <w:tc>
          <w:tcPr>
            <w:tcW w:type="dxa" w:w="900"/>
            <w:shd w:fill="FFFFFF" w:val="clear"/>
            <w:tcMar>
              <w:top w:type="dxa" w:w="90"/>
              <w:left w:type="dxa" w:w="130"/>
              <w:bottom w:type="dxa" w:w="90"/>
              <w:right w:type="dxa" w:w="130"/>
            </w:tcMar>
          </w:tcPr>
          <w:p>
            <w:pPr>
              <w:spacing w:after="0" w:line="260"/>
            </w:pPr>
            <w:r>
              <w:rPr>
                <w:rFonts w:ascii="Inter" w:cs="Inter" w:eastAsia="Inter" w:hAnsi="Inter"/>
                <w:b/>
                <w:bCs/>
                <w:color w:val="FF6A00"/>
                <w:sz w:val="18"/>
                <w:szCs w:val="18"/>
              </w:rPr>
              <w:t xml:space="preserve">N1</w:t>
            </w:r>
          </w:p>
        </w:tc>
        <w:tc>
          <w:tcPr>
            <w:tcW w:type="dxa" w:w="24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Asistido</w:t>
            </w:r>
          </w:p>
        </w:tc>
        <w:tc>
          <w:tcPr>
            <w:tcW w:type="dxa" w:w="26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Ejecuta bajo supervisión directa.</w:t>
            </w:r>
          </w:p>
        </w:tc>
        <w:tc>
          <w:tcPr>
            <w:tcW w:type="dxa" w:w="31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Ninguna. Es el punto de entrada.</w:t>
            </w:r>
          </w:p>
        </w:tc>
      </w:tr>
      <w:tr>
        <w:tc>
          <w:tcPr>
            <w:tcW w:type="dxa" w:w="900"/>
            <w:shd w:fill="FFFFFF" w:val="clear"/>
            <w:tcMar>
              <w:top w:type="dxa" w:w="90"/>
              <w:left w:type="dxa" w:w="130"/>
              <w:bottom w:type="dxa" w:w="90"/>
              <w:right w:type="dxa" w:w="130"/>
            </w:tcMar>
          </w:tcPr>
          <w:p>
            <w:pPr>
              <w:spacing w:after="0" w:line="260"/>
            </w:pPr>
            <w:r>
              <w:rPr>
                <w:rFonts w:ascii="Inter" w:cs="Inter" w:eastAsia="Inter" w:hAnsi="Inter"/>
                <w:b/>
                <w:bCs/>
                <w:color w:val="FF6A00"/>
                <w:sz w:val="18"/>
                <w:szCs w:val="18"/>
              </w:rPr>
              <w:t xml:space="preserve">N2</w:t>
            </w:r>
          </w:p>
        </w:tc>
        <w:tc>
          <w:tcPr>
            <w:tcW w:type="dxa" w:w="24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Autónomo en plantilla</w:t>
            </w:r>
          </w:p>
        </w:tc>
        <w:tc>
          <w:tcPr>
            <w:tcW w:type="dxa" w:w="26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Ejecuta solo dentro de plantillas aprobadas.</w:t>
            </w:r>
          </w:p>
        </w:tc>
        <w:tc>
          <w:tcPr>
            <w:tcW w:type="dxa" w:w="31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Un ciclo completo entregado sin corrección.</w:t>
            </w:r>
          </w:p>
        </w:tc>
      </w:tr>
      <w:tr>
        <w:tc>
          <w:tcPr>
            <w:tcW w:type="dxa" w:w="900"/>
            <w:shd w:fill="FFFFFF" w:val="clear"/>
            <w:tcMar>
              <w:top w:type="dxa" w:w="90"/>
              <w:left w:type="dxa" w:w="130"/>
              <w:bottom w:type="dxa" w:w="90"/>
              <w:right w:type="dxa" w:w="130"/>
            </w:tcMar>
          </w:tcPr>
          <w:p>
            <w:pPr>
              <w:spacing w:after="0" w:line="260"/>
            </w:pPr>
            <w:r>
              <w:rPr>
                <w:rFonts w:ascii="Inter" w:cs="Inter" w:eastAsia="Inter" w:hAnsi="Inter"/>
                <w:b/>
                <w:bCs/>
                <w:color w:val="FF6A00"/>
                <w:sz w:val="18"/>
                <w:szCs w:val="18"/>
              </w:rPr>
              <w:t xml:space="preserve">N3</w:t>
            </w:r>
          </w:p>
        </w:tc>
        <w:tc>
          <w:tcPr>
            <w:tcW w:type="dxa" w:w="24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Autónomo con criterio</w:t>
            </w:r>
          </w:p>
        </w:tc>
        <w:tc>
          <w:tcPr>
            <w:tcW w:type="dxa" w:w="26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Decide fuera de plantilla y justifica la decisión.</w:t>
            </w:r>
          </w:p>
        </w:tc>
        <w:tc>
          <w:tcPr>
            <w:tcW w:type="dxa" w:w="31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Tres decisiones documentadas con resultado medido.</w:t>
            </w:r>
          </w:p>
        </w:tc>
      </w:tr>
      <w:tr>
        <w:tc>
          <w:tcPr>
            <w:tcW w:type="dxa" w:w="900"/>
            <w:shd w:fill="FFFFFF" w:val="clear"/>
            <w:tcMar>
              <w:top w:type="dxa" w:w="90"/>
              <w:left w:type="dxa" w:w="130"/>
              <w:bottom w:type="dxa" w:w="90"/>
              <w:right w:type="dxa" w:w="130"/>
            </w:tcMar>
          </w:tcPr>
          <w:p>
            <w:pPr>
              <w:spacing w:after="0" w:line="260"/>
            </w:pPr>
            <w:r>
              <w:rPr>
                <w:rFonts w:ascii="Inter" w:cs="Inter" w:eastAsia="Inter" w:hAnsi="Inter"/>
                <w:b/>
                <w:bCs/>
                <w:color w:val="FF6A00"/>
                <w:sz w:val="18"/>
                <w:szCs w:val="18"/>
              </w:rPr>
              <w:t xml:space="preserve">N4</w:t>
            </w:r>
          </w:p>
        </w:tc>
        <w:tc>
          <w:tcPr>
            <w:tcW w:type="dxa" w:w="24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Fija el estándar</w:t>
            </w:r>
          </w:p>
        </w:tc>
        <w:tc>
          <w:tcPr>
            <w:tcW w:type="dxa" w:w="26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Su forma de hacerlo se convierte en la plantilla de otros.</w:t>
            </w:r>
          </w:p>
        </w:tc>
        <w:tc>
          <w:tcPr>
            <w:tcW w:type="dxa" w:w="31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Una plantilla suya adoptada por la línea.</w:t>
            </w:r>
          </w:p>
        </w:tc>
      </w:tr>
    </w:tbl>
    <w:tbl>
      <w:tblPr>
        <w:tblW w:type="dxa" w:w="9026"/>
        <w:tblBorders>
          <w:top w:val="none"/>
          <w:left w:val="single" w:color="FF6A00" w:sz="18"/>
          <w:bottom w:val="none"/>
          <w:right w:val="none"/>
          <w:insideH w:val="none"/>
          <w:insideV w:val="none"/>
        </w:tblBorders>
      </w:tblPr>
      <w:tblGrid>
        <w:gridCol w:w="9026"/>
      </w:tblGrid>
      <w:tr>
        <w:tc>
          <w:tcPr>
            <w:tcW w:type="dxa" w:w="9026"/>
            <w:shd w:fill="F8F8F6" w:val="clear"/>
            <w:tcMar>
              <w:top w:type="dxa" w:w="140"/>
              <w:left w:type="dxa" w:w="200"/>
              <w:bottom w:type="dxa" w:w="140"/>
              <w:right w:type="dxa" w:w="200"/>
            </w:tcMar>
          </w:tcPr>
          <w:p>
            <w:pPr>
              <w:spacing w:after="0" w:line="300"/>
            </w:pPr>
            <w:r>
              <w:rPr>
                <w:rFonts w:ascii="Inter" w:cs="Inter" w:eastAsia="Inter" w:hAnsi="Inter"/>
                <w:b/>
                <w:bCs/>
                <w:color w:val="FF6A00"/>
                <w:sz w:val="20"/>
                <w:szCs w:val="20"/>
              </w:rPr>
              <w:t xml:space="preserve">Regla de coherencia. </w:t>
            </w:r>
            <w:r>
              <w:rPr>
                <w:rFonts w:ascii="Inter" w:cs="Inter" w:eastAsia="Inter" w:hAnsi="Inter"/>
                <w:color w:val="111111"/>
                <w:sz w:val="20"/>
                <w:szCs w:val="20"/>
              </w:rPr>
              <w:t xml:space="preserve">Ninguna competencia puede estar en un nivel superior al que el alcance autónomo (B1) permite ejercer. Un N3 con alcance de N1 es una frustración presupuestada, y en una persona es la causa más común de salida voluntaria en el primer año.</w:t>
            </w:r>
          </w:p>
        </w:tc>
      </w:tr>
    </w:tbl>
    <w:p>
      <w:r>
        <w:br w:type="page"/>
      </w:r>
    </w:p>
    <w:p>
      <w:pPr>
        <w:pStyle w:val="Heading1"/>
        <w:pBdr>
          <w:bottom w:val="single" w:color="FF6A00" w:sz="12" w:space="6"/>
        </w:pBdr>
        <w:spacing w:after="200" w:before="400"/>
      </w:pPr>
      <w:r>
        <w:rPr>
          <w:rFonts w:ascii="Inter" w:cs="Inter" w:eastAsia="Inter" w:hAnsi="Inter"/>
          <w:b/>
          <w:bCs/>
          <w:color w:val="111111"/>
          <w:sz w:val="30"/>
          <w:szCs w:val="30"/>
        </w:rPr>
        <w:t xml:space="preserve">V · El paquete de conocimiento</w:t>
      </w:r>
    </w:p>
    <w:p>
      <w:pPr>
        <w:spacing w:after="120" w:line="300"/>
      </w:pPr>
      <w:r>
        <w:rPr>
          <w:rFonts w:ascii="Inter" w:cs="Inter" w:eastAsia="Inter" w:hAnsi="Inter"/>
          <w:color w:val="111111"/>
          <w:sz w:val="20"/>
          <w:szCs w:val="20"/>
        </w:rPr>
        <w:t xml:space="preserve">Es el campo D3: qué debe tener leído un rol —persona o especialista— antes de operar. No es una carpeta ni un enlace a la unidad compartida. Son siete bloques, y cada uno se declara con cuatro atributos obligatorios.</w:t>
      </w:r>
    </w:p>
    <w:p>
      <w:pPr>
        <w:pStyle w:val="Heading2"/>
        <w:spacing w:after="140" w:before="320"/>
      </w:pPr>
      <w:r>
        <w:rPr>
          <w:rFonts w:ascii="Inter" w:cs="Inter" w:eastAsia="Inter" w:hAnsi="Inter"/>
          <w:b/>
          <w:bCs/>
          <w:color w:val="111111"/>
          <w:sz w:val="24"/>
          <w:szCs w:val="24"/>
        </w:rPr>
        <w:t xml:space="preserve">Los cuatro atributos de todo bloque</w:t>
      </w:r>
    </w:p>
    <w:tbl>
      <w:tblPr>
        <w:tblW w:type="dxa" w:w="9026"/>
        <w:tblBorders>
          <w:top w:val="single" w:color="DDDDD8" w:sz="4"/>
          <w:left w:val="single" w:color="DDDDD8" w:sz="4"/>
          <w:bottom w:val="single" w:color="DDDDD8" w:sz="4"/>
          <w:right w:val="single" w:color="DDDDD8" w:sz="4"/>
          <w:insideH w:val="single" w:color="DDDDD8" w:sz="4"/>
          <w:insideV w:val="single" w:color="DDDDD8" w:sz="4"/>
        </w:tblBorders>
      </w:tblPr>
      <w:tblGrid>
        <w:gridCol w:w="2000"/>
        <w:gridCol w:w="7026"/>
      </w:tblGrid>
      <w:tr>
        <w:tc>
          <w:tcPr>
            <w:tcW w:type="dxa" w:w="20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Qué es</w:t>
            </w:r>
          </w:p>
        </w:tc>
        <w:tc>
          <w:tcPr>
            <w:tcW w:type="dxa" w:w="70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Una frase que describe el contenido, no su ubicación.</w:t>
            </w:r>
          </w:p>
        </w:tc>
      </w:tr>
      <w:tr>
        <w:tc>
          <w:tcPr>
            <w:tcW w:type="dxa" w:w="20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Dónde vive</w:t>
            </w:r>
          </w:p>
        </w:tc>
        <w:tc>
          <w:tcPr>
            <w:tcW w:type="dxa" w:w="70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URI resoluble. Nunca «en Drive» ni «se lo pasa el manager».</w:t>
            </w:r>
          </w:p>
        </w:tc>
      </w:tr>
      <w:tr>
        <w:tc>
          <w:tcPr>
            <w:tcW w:type="dxa" w:w="20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Quién lo mantiene</w:t>
            </w:r>
          </w:p>
        </w:tc>
        <w:tc>
          <w:tcPr>
            <w:tcW w:type="dxa" w:w="70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Una persona con nombre. Nunca un equipo.</w:t>
            </w:r>
          </w:p>
        </w:tc>
      </w:tr>
      <w:tr>
        <w:tc>
          <w:tcPr>
            <w:tcW w:type="dxa" w:w="20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Cada cuánto se refresca</w:t>
            </w:r>
          </w:p>
        </w:tc>
        <w:tc>
          <w:tcPr>
            <w:tcW w:type="dxa" w:w="70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Un intervalo o un disparador. Un bloque sin fecha de última revisión se considera no válido.</w:t>
            </w:r>
          </w:p>
        </w:tc>
      </w:tr>
    </w:tbl>
    <w:p>
      <w:pPr>
        <w:pStyle w:val="Heading2"/>
        <w:spacing w:after="140" w:before="320"/>
      </w:pPr>
      <w:r>
        <w:rPr>
          <w:rFonts w:ascii="Inter" w:cs="Inter" w:eastAsia="Inter" w:hAnsi="Inter"/>
          <w:b/>
          <w:bCs/>
          <w:color w:val="111111"/>
          <w:sz w:val="24"/>
          <w:szCs w:val="24"/>
        </w:rPr>
        <w:t xml:space="preserve">Los siete bloques</w:t>
      </w:r>
    </w:p>
    <w:tbl>
      <w:tblPr>
        <w:tblW w:type="dxa" w:w="9026"/>
        <w:tblBorders>
          <w:top w:val="single" w:color="DDDDD8" w:sz="4"/>
          <w:left w:val="single" w:color="DDDDD8" w:sz="4"/>
          <w:bottom w:val="single" w:color="DDDDD8" w:sz="4"/>
          <w:right w:val="single" w:color="DDDDD8" w:sz="4"/>
          <w:insideH w:val="single" w:color="DDDDD8" w:sz="4"/>
          <w:insideV w:val="single" w:color="DDDDD8" w:sz="4"/>
        </w:tblBorders>
      </w:tblPr>
      <w:tblGrid>
        <w:gridCol w:w="600"/>
        <w:gridCol w:w="2300"/>
        <w:gridCol w:w="4300"/>
        <w:gridCol w:w="1826"/>
      </w:tblGrid>
      <w:tr>
        <w:trPr>
          <w:tblHeader/>
        </w:trPr>
        <w:tc>
          <w:tcPr>
            <w:tcW w:type="dxa" w:w="60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w:t>
            </w:r>
          </w:p>
        </w:tc>
        <w:tc>
          <w:tcPr>
            <w:tcW w:type="dxa" w:w="230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Bloque</w:t>
            </w:r>
          </w:p>
        </w:tc>
        <w:tc>
          <w:tcPr>
            <w:tcW w:type="dxa" w:w="430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Contenido</w:t>
            </w:r>
          </w:p>
        </w:tc>
        <w:tc>
          <w:tcPr>
            <w:tcW w:type="dxa" w:w="1826"/>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Capa</w:t>
            </w:r>
          </w:p>
        </w:tc>
      </w:tr>
      <w:tr>
        <w:tc>
          <w:tcPr>
            <w:tcW w:type="dxa" w:w="6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1</w:t>
            </w:r>
          </w:p>
        </w:tc>
        <w:tc>
          <w:tcPr>
            <w:tcW w:type="dxa" w:w="23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Playbook Vrutal</w:t>
            </w:r>
          </w:p>
        </w:tc>
        <w:tc>
          <w:tcPr>
            <w:tcW w:type="dxa" w:w="43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Quién es Vrutal, cómo piensa, cómo escribe, cómo decide, qué nunca hace. Idéntico para personas y para especialistas.</w:t>
            </w:r>
          </w:p>
        </w:tc>
        <w:tc>
          <w:tcPr>
            <w:tcW w:type="dxa" w:w="1826"/>
            <w:shd w:fill="FFFFFF" w:val="clear"/>
            <w:tcMar>
              <w:top w:type="dxa" w:w="90"/>
              <w:left w:type="dxa" w:w="130"/>
              <w:bottom w:type="dxa" w:w="90"/>
              <w:right w:type="dxa" w:w="130"/>
            </w:tcMar>
          </w:tcPr>
          <w:p>
            <w:pPr>
              <w:spacing w:after="0" w:line="260"/>
            </w:pPr>
            <w:r>
              <w:rPr>
                <w:rFonts w:ascii="Inter" w:cs="Inter" w:eastAsia="Inter" w:hAnsi="Inter"/>
                <w:color w:val="FF6A00"/>
                <w:sz w:val="18"/>
                <w:szCs w:val="18"/>
              </w:rPr>
              <w:t xml:space="preserve">Tronco</w:t>
            </w:r>
          </w:p>
        </w:tc>
      </w:tr>
      <w:tr>
        <w:tc>
          <w:tcPr>
            <w:tcW w:type="dxa" w:w="6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2</w:t>
            </w:r>
          </w:p>
        </w:tc>
        <w:tc>
          <w:tcPr>
            <w:tcW w:type="dxa" w:w="23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Marca y lenguaje</w:t>
            </w:r>
          </w:p>
        </w:tc>
        <w:tc>
          <w:tcPr>
            <w:tcW w:type="dxa" w:w="43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Manual de marca, paleta, tipografía, sistema gráfico. Voz y tono, diccionario Vrutal, palabras prohibidas y preferidas.</w:t>
            </w:r>
          </w:p>
        </w:tc>
        <w:tc>
          <w:tcPr>
            <w:tcW w:type="dxa" w:w="1826"/>
            <w:shd w:fill="FFFFFF" w:val="clear"/>
            <w:tcMar>
              <w:top w:type="dxa" w:w="90"/>
              <w:left w:type="dxa" w:w="130"/>
              <w:bottom w:type="dxa" w:w="90"/>
              <w:right w:type="dxa" w:w="130"/>
            </w:tcMar>
          </w:tcPr>
          <w:p>
            <w:pPr>
              <w:spacing w:after="0" w:line="260"/>
            </w:pPr>
            <w:r>
              <w:rPr>
                <w:rFonts w:ascii="Inter" w:cs="Inter" w:eastAsia="Inter" w:hAnsi="Inter"/>
                <w:color w:val="FF6A00"/>
                <w:sz w:val="18"/>
                <w:szCs w:val="18"/>
              </w:rPr>
              <w:t xml:space="preserve">Tronco</w:t>
            </w:r>
          </w:p>
        </w:tc>
      </w:tr>
      <w:tr>
        <w:tc>
          <w:tcPr>
            <w:tcW w:type="dxa" w:w="6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3</w:t>
            </w:r>
          </w:p>
        </w:tc>
        <w:tc>
          <w:tcPr>
            <w:tcW w:type="dxa" w:w="23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Dominio del rol</w:t>
            </w:r>
          </w:p>
        </w:tc>
        <w:tc>
          <w:tcPr>
            <w:tcW w:type="dxa" w:w="43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El cuerpo técnico propio: metodologías, benchmarks, criterios de calidad del área.</w:t>
            </w:r>
          </w:p>
        </w:tc>
        <w:tc>
          <w:tcPr>
            <w:tcW w:type="dxa" w:w="1826"/>
            <w:shd w:fill="FFFFFF" w:val="clear"/>
            <w:tcMar>
              <w:top w:type="dxa" w:w="90"/>
              <w:left w:type="dxa" w:w="130"/>
              <w:bottom w:type="dxa" w:w="90"/>
              <w:right w:type="dxa" w:w="130"/>
            </w:tcMar>
          </w:tcPr>
          <w:p>
            <w:pPr>
              <w:spacing w:after="0" w:line="260"/>
            </w:pPr>
            <w:r>
              <w:rPr>
                <w:rFonts w:ascii="Inter" w:cs="Inter" w:eastAsia="Inter" w:hAnsi="Inter"/>
                <w:color w:val="7B4DFF"/>
                <w:sz w:val="18"/>
                <w:szCs w:val="18"/>
              </w:rPr>
              <w:t xml:space="preserve">Rama</w:t>
            </w:r>
          </w:p>
        </w:tc>
      </w:tr>
      <w:tr>
        <w:tc>
          <w:tcPr>
            <w:tcW w:type="dxa" w:w="6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4</w:t>
            </w:r>
          </w:p>
        </w:tc>
        <w:tc>
          <w:tcPr>
            <w:tcW w:type="dxa" w:w="23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Procesos</w:t>
            </w:r>
          </w:p>
        </w:tc>
        <w:tc>
          <w:tcPr>
            <w:tcW w:type="dxa" w:w="43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Los playbooks que ejecuta: qué los dispara, qué pasos sigue, dónde escala, qué evidencia deja al terminar.</w:t>
            </w:r>
          </w:p>
        </w:tc>
        <w:tc>
          <w:tcPr>
            <w:tcW w:type="dxa" w:w="1826"/>
            <w:shd w:fill="FFFFFF" w:val="clear"/>
            <w:tcMar>
              <w:top w:type="dxa" w:w="90"/>
              <w:left w:type="dxa" w:w="130"/>
              <w:bottom w:type="dxa" w:w="90"/>
              <w:right w:type="dxa" w:w="130"/>
            </w:tcMar>
          </w:tcPr>
          <w:p>
            <w:pPr>
              <w:spacing w:after="0" w:line="260"/>
            </w:pPr>
            <w:r>
              <w:rPr>
                <w:rFonts w:ascii="Inter" w:cs="Inter" w:eastAsia="Inter" w:hAnsi="Inter"/>
                <w:color w:val="7B4DFF"/>
                <w:sz w:val="18"/>
                <w:szCs w:val="18"/>
              </w:rPr>
              <w:t xml:space="preserve">Rama</w:t>
            </w:r>
          </w:p>
        </w:tc>
      </w:tr>
      <w:tr>
        <w:tc>
          <w:tcPr>
            <w:tcW w:type="dxa" w:w="6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5</w:t>
            </w:r>
          </w:p>
        </w:tc>
        <w:tc>
          <w:tcPr>
            <w:tcW w:type="dxa" w:w="23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Diccionario de datos</w:t>
            </w:r>
          </w:p>
        </w:tc>
        <w:tc>
          <w:tcPr>
            <w:tcW w:type="dxa" w:w="43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Definición exacta de cada métrica que usa o reporta. Qué cuenta exactamente como «lead cualificado» aquí y qué no.</w:t>
            </w:r>
          </w:p>
        </w:tc>
        <w:tc>
          <w:tcPr>
            <w:tcW w:type="dxa" w:w="1826"/>
            <w:shd w:fill="FFFFFF" w:val="clear"/>
            <w:tcMar>
              <w:top w:type="dxa" w:w="90"/>
              <w:left w:type="dxa" w:w="130"/>
              <w:bottom w:type="dxa" w:w="90"/>
              <w:right w:type="dxa" w:w="130"/>
            </w:tcMar>
          </w:tcPr>
          <w:p>
            <w:pPr>
              <w:spacing w:after="0" w:line="260"/>
            </w:pPr>
            <w:r>
              <w:rPr>
                <w:rFonts w:ascii="Inter" w:cs="Inter" w:eastAsia="Inter" w:hAnsi="Inter"/>
                <w:color w:val="6B6B6B"/>
                <w:sz w:val="18"/>
                <w:szCs w:val="18"/>
              </w:rPr>
              <w:t xml:space="preserve">Tronco + rama</w:t>
            </w:r>
          </w:p>
        </w:tc>
      </w:tr>
      <w:tr>
        <w:tc>
          <w:tcPr>
            <w:tcW w:type="dxa" w:w="6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6</w:t>
            </w:r>
          </w:p>
        </w:tc>
        <w:tc>
          <w:tcPr>
            <w:tcW w:type="dxa" w:w="23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Casos y aprendizajes</w:t>
            </w:r>
          </w:p>
        </w:tc>
        <w:tc>
          <w:tcPr>
            <w:tcW w:type="dxa" w:w="43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Qué se probó ya, qué funcionó, qué no y por qué. Se recupera antes de producir, no después de fallar.</w:t>
            </w:r>
          </w:p>
        </w:tc>
        <w:tc>
          <w:tcPr>
            <w:tcW w:type="dxa" w:w="1826"/>
            <w:shd w:fill="FFFFFF" w:val="clear"/>
            <w:tcMar>
              <w:top w:type="dxa" w:w="90"/>
              <w:left w:type="dxa" w:w="130"/>
              <w:bottom w:type="dxa" w:w="90"/>
              <w:right w:type="dxa" w:w="130"/>
            </w:tcMar>
          </w:tcPr>
          <w:p>
            <w:pPr>
              <w:spacing w:after="0" w:line="260"/>
            </w:pPr>
            <w:r>
              <w:rPr>
                <w:rFonts w:ascii="Inter" w:cs="Inter" w:eastAsia="Inter" w:hAnsi="Inter"/>
                <w:color w:val="7B4DFF"/>
                <w:sz w:val="18"/>
                <w:szCs w:val="18"/>
              </w:rPr>
              <w:t xml:space="preserve">Rama</w:t>
            </w:r>
          </w:p>
        </w:tc>
      </w:tr>
      <w:tr>
        <w:tc>
          <w:tcPr>
            <w:tcW w:type="dxa" w:w="6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7</w:t>
            </w:r>
          </w:p>
        </w:tc>
        <w:tc>
          <w:tcPr>
            <w:tcW w:type="dxa" w:w="23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Límites y cumplimiento</w:t>
            </w:r>
          </w:p>
        </w:tc>
        <w:tc>
          <w:tcPr>
            <w:tcW w:type="dxa" w:w="43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Su B3, su matriz de interlocución, su tabla de permisos y la normativa aplicable a su actividad.</w:t>
            </w:r>
          </w:p>
        </w:tc>
        <w:tc>
          <w:tcPr>
            <w:tcW w:type="dxa" w:w="1826"/>
            <w:shd w:fill="FFFFFF" w:val="clear"/>
            <w:tcMar>
              <w:top w:type="dxa" w:w="90"/>
              <w:left w:type="dxa" w:w="130"/>
              <w:bottom w:type="dxa" w:w="90"/>
              <w:right w:type="dxa" w:w="130"/>
            </w:tcMar>
          </w:tcPr>
          <w:p>
            <w:pPr>
              <w:spacing w:after="0" w:line="260"/>
            </w:pPr>
            <w:r>
              <w:rPr>
                <w:rFonts w:ascii="Inter" w:cs="Inter" w:eastAsia="Inter" w:hAnsi="Inter"/>
                <w:color w:val="6B6B6B"/>
                <w:sz w:val="18"/>
                <w:szCs w:val="18"/>
              </w:rPr>
              <w:t xml:space="preserve">Tronco + rama</w:t>
            </w:r>
          </w:p>
        </w:tc>
      </w:tr>
    </w:tbl>
    <w:tbl>
      <w:tblPr>
        <w:tblW w:type="dxa" w:w="9026"/>
        <w:tblBorders>
          <w:top w:val="none"/>
          <w:left w:val="single" w:color="FF6A00" w:sz="18"/>
          <w:bottom w:val="none"/>
          <w:right w:val="none"/>
          <w:insideH w:val="none"/>
          <w:insideV w:val="none"/>
        </w:tblBorders>
      </w:tblPr>
      <w:tblGrid>
        <w:gridCol w:w="9026"/>
      </w:tblGrid>
      <w:tr>
        <w:tc>
          <w:tcPr>
            <w:tcW w:type="dxa" w:w="9026"/>
            <w:shd w:fill="F8F8F6" w:val="clear"/>
            <w:tcMar>
              <w:top w:type="dxa" w:w="140"/>
              <w:left w:type="dxa" w:w="200"/>
              <w:bottom w:type="dxa" w:w="140"/>
              <w:right w:type="dxa" w:w="200"/>
            </w:tcMar>
          </w:tcPr>
          <w:p>
            <w:pPr>
              <w:spacing w:after="0" w:line="300"/>
            </w:pPr>
            <w:r>
              <w:rPr>
                <w:rFonts w:ascii="Inter" w:cs="Inter" w:eastAsia="Inter" w:hAnsi="Inter"/>
                <w:b/>
                <w:bCs/>
                <w:color w:val="FF6A00"/>
                <w:sz w:val="20"/>
                <w:szCs w:val="20"/>
              </w:rPr>
              <w:t xml:space="preserve">Por qué el bloque 2 es tronco y no rama. </w:t>
            </w:r>
            <w:r>
              <w:rPr>
                <w:rFonts w:ascii="Inter" w:cs="Inter" w:eastAsia="Inter" w:hAnsi="Inter"/>
                <w:color w:val="111111"/>
                <w:sz w:val="20"/>
                <w:szCs w:val="20"/>
              </w:rPr>
              <w:t xml:space="preserve">La tentación es dar a cada rol «la parte del manual de marca que le afecta». Es un error: produce tantas versiones del manual como roles, y todas divergen a la primera actualización. El manual se enlaza completo, siempre. Lo que cambia por rol es qué parte se recupera primero, no qué parte existe.</w:t>
            </w:r>
          </w:p>
        </w:tc>
      </w:tr>
    </w:tbl>
    <w:p>
      <w:pPr>
        <w:pStyle w:val="Heading2"/>
        <w:spacing w:after="140" w:before="320"/>
      </w:pPr>
      <w:r>
        <w:rPr>
          <w:rFonts w:ascii="Inter" w:cs="Inter" w:eastAsia="Inter" w:hAnsi="Inter"/>
          <w:b/>
          <w:bCs/>
          <w:color w:val="111111"/>
          <w:sz w:val="24"/>
          <w:szCs w:val="24"/>
        </w:rPr>
        <w:t xml:space="preserve">Dónde vive cada bloque, dada la decisión de arquitectura</w:t>
      </w:r>
    </w:p>
    <w:tbl>
      <w:tblPr>
        <w:tblW w:type="dxa" w:w="9026"/>
        <w:tblBorders>
          <w:top w:val="single" w:color="DDDDD8" w:sz="4"/>
          <w:left w:val="single" w:color="DDDDD8" w:sz="4"/>
          <w:bottom w:val="single" w:color="DDDDD8" w:sz="4"/>
          <w:right w:val="single" w:color="DDDDD8" w:sz="4"/>
          <w:insideH w:val="single" w:color="DDDDD8" w:sz="4"/>
          <w:insideV w:val="single" w:color="DDDDD8" w:sz="4"/>
        </w:tblBorders>
      </w:tblPr>
      <w:tblGrid>
        <w:gridCol w:w="2200"/>
        <w:gridCol w:w="2200"/>
        <w:gridCol w:w="4626"/>
      </w:tblGrid>
      <w:tr>
        <w:trPr>
          <w:tblHeader/>
        </w:trPr>
        <w:tc>
          <w:tcPr>
            <w:tcW w:type="dxa" w:w="220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Bloque</w:t>
            </w:r>
          </w:p>
        </w:tc>
        <w:tc>
          <w:tcPr>
            <w:tcW w:type="dxa" w:w="220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Motor</w:t>
            </w:r>
          </w:p>
        </w:tc>
        <w:tc>
          <w:tcPr>
            <w:tcW w:type="dxa" w:w="4626"/>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Por qué ahí</w:t>
            </w:r>
          </w:p>
        </w:tc>
      </w:tr>
      <w:tr>
        <w:tc>
          <w:tcPr>
            <w:tcW w:type="dxa" w:w="22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1, 2, 7</w:t>
            </w:r>
          </w:p>
        </w:tc>
        <w:tc>
          <w:tcPr>
            <w:tcW w:type="dxa" w:w="22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Qdrant + enlace a Git</w:t>
            </w:r>
          </w:p>
        </w:tc>
        <w:tc>
          <w:tcPr>
            <w:tcW w:type="dxa" w:w="46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Son texto que se recupera por relevancia semántica antes de escribir. El original versionado sigue en Git; Qdrant guarda el índice recuperable.</w:t>
            </w:r>
          </w:p>
        </w:tc>
      </w:tr>
      <w:tr>
        <w:tc>
          <w:tcPr>
            <w:tcW w:type="dxa" w:w="22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3, 4, 6</w:t>
            </w:r>
          </w:p>
        </w:tc>
        <w:tc>
          <w:tcPr>
            <w:tcW w:type="dxa" w:w="22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Qdrant</w:t>
            </w:r>
          </w:p>
        </w:tc>
        <w:tc>
          <w:tcPr>
            <w:tcW w:type="dxa" w:w="46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Conocimiento de rama, consultado en lenguaje natural. Es literalmente la pregunta «¿qué sabíamos ya sobre esto?».</w:t>
            </w:r>
          </w:p>
        </w:tc>
      </w:tr>
      <w:tr>
        <w:tc>
          <w:tcPr>
            <w:tcW w:type="dxa" w:w="22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5</w:t>
            </w:r>
          </w:p>
        </w:tc>
        <w:tc>
          <w:tcPr>
            <w:tcW w:type="dxa" w:w="22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PostgreSQL</w:t>
            </w:r>
          </w:p>
        </w:tc>
        <w:tc>
          <w:tcPr>
            <w:tcW w:type="dxa" w:w="46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Definiciones exactas y estructuradas. Es la pregunta «¿qué es cierto ahora?»: una métrica tiene una definición vigente, no varias aproximadas.</w:t>
            </w:r>
          </w:p>
        </w:tc>
      </w:tr>
    </w:tbl>
    <w:tbl>
      <w:tblPr>
        <w:tblW w:type="dxa" w:w="9026"/>
        <w:tblBorders>
          <w:top w:val="none"/>
          <w:left w:val="single" w:color="FF6A00" w:sz="18"/>
          <w:bottom w:val="none"/>
          <w:right w:val="none"/>
          <w:insideH w:val="none"/>
          <w:insideV w:val="none"/>
        </w:tblBorders>
      </w:tblPr>
      <w:tblGrid>
        <w:gridCol w:w="9026"/>
      </w:tblGrid>
      <w:tr>
        <w:tc>
          <w:tcPr>
            <w:tcW w:type="dxa" w:w="9026"/>
            <w:shd w:fill="F8F8F6" w:val="clear"/>
            <w:tcMar>
              <w:top w:type="dxa" w:w="140"/>
              <w:left w:type="dxa" w:w="200"/>
              <w:bottom w:type="dxa" w:w="140"/>
              <w:right w:type="dxa" w:w="200"/>
            </w:tcMar>
          </w:tcPr>
          <w:p>
            <w:pPr>
              <w:spacing w:after="0" w:line="300"/>
            </w:pPr>
            <w:r>
              <w:rPr>
                <w:rFonts w:ascii="Inter" w:cs="Inter" w:eastAsia="Inter" w:hAnsi="Inter"/>
                <w:b/>
                <w:bCs/>
                <w:color w:val="FF6A00"/>
                <w:sz w:val="20"/>
                <w:szCs w:val="20"/>
              </w:rPr>
              <w:t xml:space="preserve">El campo que no puede faltar en el payload. </w:t>
            </w:r>
            <w:r>
              <w:rPr>
                <w:rFonts w:ascii="Inter" w:cs="Inter" w:eastAsia="Inter" w:hAnsi="Inter"/>
                <w:color w:val="111111"/>
                <w:sz w:val="20"/>
                <w:szCs w:val="20"/>
              </w:rPr>
              <w:t xml:space="preserve">Todo vector del paquete de conocimiento lleva su clase de divulgación (D1–D4) en el payload. La consulta a Qdrant filtra por el nivel de la conversación en curso antes de recuperar. Sin este campo, la matriz de la Parte II es un documento de buenas intenciones: el especialista tendría el dato restringido en su contexto y solo la suerte impediría que lo mencionara.</w:t>
            </w:r>
          </w:p>
        </w:tc>
      </w:tr>
    </w:tbl>
    <w:p>
      <w:pPr>
        <w:pStyle w:val="Heading2"/>
        <w:spacing w:after="140" w:before="320"/>
      </w:pPr>
      <w:r>
        <w:rPr>
          <w:rFonts w:ascii="Inter" w:cs="Inter" w:eastAsia="Inter" w:hAnsi="Inter"/>
          <w:b/>
          <w:bCs/>
          <w:color w:val="111111"/>
          <w:sz w:val="24"/>
          <w:szCs w:val="24"/>
        </w:rPr>
        <w:t xml:space="preserve">Ciclo de vida de un bloque</w:t>
      </w:r>
    </w:p>
    <w:tbl>
      <w:tblPr>
        <w:tblW w:type="dxa" w:w="9026"/>
        <w:tblBorders>
          <w:top w:val="single" w:color="DDDDD8" w:sz="4"/>
          <w:left w:val="single" w:color="DDDDD8" w:sz="4"/>
          <w:bottom w:val="single" w:color="DDDDD8" w:sz="4"/>
          <w:right w:val="single" w:color="DDDDD8" w:sz="4"/>
          <w:insideH w:val="single" w:color="DDDDD8" w:sz="4"/>
          <w:insideV w:val="single" w:color="DDDDD8" w:sz="4"/>
        </w:tblBorders>
      </w:tblPr>
      <w:tblGrid>
        <w:gridCol w:w="1800"/>
        <w:gridCol w:w="7226"/>
      </w:tblGrid>
      <w:tr>
        <w:tc>
          <w:tcPr>
            <w:tcW w:type="dxa" w:w="18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Alta</w:t>
            </w:r>
          </w:p>
        </w:tc>
        <w:tc>
          <w:tcPr>
            <w:tcW w:type="dxa" w:w="72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Se crea con propietario y fecha desde el primer día. Un bloque sin propietario no se indexa.</w:t>
            </w:r>
          </w:p>
        </w:tc>
      </w:tr>
      <w:tr>
        <w:tc>
          <w:tcPr>
            <w:tcW w:type="dxa" w:w="18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Refresco</w:t>
            </w:r>
          </w:p>
        </w:tc>
        <w:tc>
          <w:tcPr>
            <w:tcW w:type="dxa" w:w="72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Por disparador cuando lo hay (cambia la herramienta, cambia la normativa); por intervalo cuando no lo hay.</w:t>
            </w:r>
          </w:p>
        </w:tc>
      </w:tr>
      <w:tr>
        <w:tc>
          <w:tcPr>
            <w:tcW w:type="dxa" w:w="18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Caducidad</w:t>
            </w:r>
          </w:p>
        </w:tc>
        <w:tc>
          <w:tcPr>
            <w:tcW w:type="dxa" w:w="72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Superado el intervalo sin revisión, el bloque se marca como caducado y el rol recibe aviso. No se borra: se degrada su prioridad de recuperación.</w:t>
            </w:r>
          </w:p>
        </w:tc>
      </w:tr>
      <w:tr>
        <w:tc>
          <w:tcPr>
            <w:tcW w:type="dxa" w:w="18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Retirada</w:t>
            </w:r>
          </w:p>
        </w:tc>
        <w:tc>
          <w:tcPr>
            <w:tcW w:type="dxa" w:w="72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Se archiva con motivo, nunca se elimina. Un bloque retirado sigue explicando por qué se hacían las cosas de otra manera.</w:t>
            </w:r>
          </w:p>
        </w:tc>
      </w:tr>
    </w:tbl>
    <w:p>
      <w:pPr>
        <w:pStyle w:val="Heading2"/>
        <w:spacing w:after="140" w:before="320"/>
      </w:pPr>
      <w:r>
        <w:rPr>
          <w:rFonts w:ascii="Inter" w:cs="Inter" w:eastAsia="Inter" w:hAnsi="Inter"/>
          <w:b/>
          <w:bCs/>
          <w:color w:val="111111"/>
          <w:sz w:val="24"/>
          <w:szCs w:val="24"/>
        </w:rPr>
        <w:t xml:space="preserve">La prueba de onboarding</w:t>
      </w:r>
    </w:p>
    <w:p>
      <w:pPr>
        <w:spacing w:after="120" w:line="300"/>
      </w:pPr>
      <w:r>
        <w:rPr>
          <w:rFonts w:ascii="Inter" w:cs="Inter" w:eastAsia="Inter" w:hAnsi="Inter"/>
          <w:color w:val="111111"/>
          <w:sz w:val="20"/>
          <w:szCs w:val="20"/>
        </w:rPr>
        <w:t xml:space="preserve">Es el único criterio de aceptación de un paquete de conocimiento, y es deliberadamente duro: una persona nueva debe poder asumir el rol leyendo únicamente su paquete, sin hablar con nadie. Si necesita una conversación para empezar a trabajar, falta un bloque.</w:t>
      </w:r>
    </w:p>
    <w:p>
      <w:pPr>
        <w:spacing w:after="120" w:line="300"/>
      </w:pPr>
      <w:r>
        <w:rPr>
          <w:rFonts w:ascii="Inter" w:cs="Inter" w:eastAsia="Inter" w:hAnsi="Inter"/>
          <w:b/>
          <w:bCs/>
          <w:color w:val="111111"/>
          <w:sz w:val="20"/>
          <w:szCs w:val="20"/>
        </w:rPr>
        <w:t xml:space="preserve">Ese hueco no es un detalle de documentación. Es, exactamente, la inercia organizativa que Vrutal vende resolver, ocurriendo dentro de Vrutal.</w:t>
      </w:r>
    </w:p>
    <w:p>
      <w:pPr>
        <w:pStyle w:val="Heading2"/>
        <w:spacing w:after="140" w:before="320"/>
      </w:pPr>
      <w:r>
        <w:rPr>
          <w:rFonts w:ascii="Inter" w:cs="Inter" w:eastAsia="Inter" w:hAnsi="Inter"/>
          <w:b/>
          <w:bCs/>
          <w:color w:val="111111"/>
          <w:sz w:val="24"/>
          <w:szCs w:val="24"/>
        </w:rPr>
        <w:t xml:space="preserve">Tres antipatrones</w:t>
      </w:r>
    </w:p>
    <w:p>
      <w:pPr>
        <w:pStyle w:val="ListParagraph"/>
        <w:numPr>
          <w:ilvl w:val="0"/>
          <w:numId w:val="5"/>
        </w:numPr>
        <w:spacing w:after="80" w:line="300"/>
      </w:pPr>
      <w:r>
        <w:rPr>
          <w:rFonts w:ascii="Inter" w:cs="Inter" w:eastAsia="Inter" w:hAnsi="Inter"/>
          <w:color w:val="111111"/>
          <w:sz w:val="20"/>
          <w:szCs w:val="20"/>
        </w:rPr>
        <w:t xml:space="preserve">El bloque que es un enlace a una carpeta. Una carpeta obliga a saber qué se busca. La memoria organizativa se distingue del archivo precisamente en que se recupera por relevancia, no por ubicación.</w:t>
      </w:r>
    </w:p>
    <w:p>
      <w:pPr>
        <w:pStyle w:val="ListParagraph"/>
        <w:numPr>
          <w:ilvl w:val="0"/>
          <w:numId w:val="5"/>
        </w:numPr>
        <w:spacing w:after="80" w:line="300"/>
      </w:pPr>
      <w:r>
        <w:rPr>
          <w:rFonts w:ascii="Inter" w:cs="Inter" w:eastAsia="Inter" w:hAnsi="Inter"/>
          <w:color w:val="111111"/>
          <w:sz w:val="20"/>
          <w:szCs w:val="20"/>
        </w:rPr>
        <w:t xml:space="preserve">El bloque copiado. Referenciar, no copiar. Un manual de marca duplicado en tres paquetes son tres manuales de marca distintos en cuanto uno se actualiza.</w:t>
      </w:r>
    </w:p>
    <w:p>
      <w:pPr>
        <w:pStyle w:val="ListParagraph"/>
        <w:numPr>
          <w:ilvl w:val="0"/>
          <w:numId w:val="5"/>
        </w:numPr>
        <w:spacing w:after="80" w:line="300"/>
      </w:pPr>
      <w:r>
        <w:rPr>
          <w:rFonts w:ascii="Inter" w:cs="Inter" w:eastAsia="Inter" w:hAnsi="Inter"/>
          <w:color w:val="111111"/>
          <w:sz w:val="20"/>
          <w:szCs w:val="20"/>
        </w:rPr>
        <w:t xml:space="preserve">El bloque que solo existe para el especialista de IA. Si una persona no puede leerlo, no es conocimiento de la organización: es configuración. Y la configuración va en la ficha, no en la wiki.</w:t>
      </w:r>
    </w:p>
    <w:p>
      <w:r>
        <w:br w:type="page"/>
      </w:r>
    </w:p>
    <w:p>
      <w:pPr>
        <w:pStyle w:val="Heading1"/>
        <w:pBdr>
          <w:bottom w:val="single" w:color="FF6A00" w:sz="12" w:space="6"/>
        </w:pBdr>
        <w:spacing w:after="200" w:before="400"/>
      </w:pPr>
      <w:r>
        <w:rPr>
          <w:rFonts w:ascii="Inter" w:cs="Inter" w:eastAsia="Inter" w:hAnsi="Inter"/>
          <w:b/>
          <w:bCs/>
          <w:color w:val="111111"/>
          <w:sz w:val="30"/>
          <w:szCs w:val="30"/>
        </w:rPr>
        <w:t xml:space="preserve">VI · Checklist de activación</w:t>
      </w:r>
    </w:p>
    <w:p>
      <w:pPr>
        <w:spacing w:after="120" w:line="300"/>
      </w:pPr>
      <w:r>
        <w:rPr>
          <w:rFonts w:ascii="Inter" w:cs="Inter" w:eastAsia="Inter" w:hAnsi="Inter"/>
          <w:color w:val="111111"/>
          <w:sz w:val="20"/>
          <w:szCs w:val="20"/>
        </w:rPr>
        <w:t xml:space="preserve">Ningún rol —persona o especialista— entra en operación sin doce síes. Es binario: no admite «casi». La ficha sin checklist superado existe como borrador, no como rol.</w:t>
      </w:r>
    </w:p>
    <w:tbl>
      <w:tblPr>
        <w:tblW w:type="dxa" w:w="9026"/>
        <w:tblBorders>
          <w:top w:val="single" w:color="DDDDD8" w:sz="4"/>
          <w:left w:val="single" w:color="DDDDD8" w:sz="4"/>
          <w:bottom w:val="single" w:color="DDDDD8" w:sz="4"/>
          <w:right w:val="single" w:color="DDDDD8" w:sz="4"/>
          <w:insideH w:val="single" w:color="DDDDD8" w:sz="4"/>
          <w:insideV w:val="single" w:color="DDDDD8" w:sz="4"/>
        </w:tblBorders>
      </w:tblPr>
      <w:tblGrid>
        <w:gridCol w:w="600"/>
        <w:gridCol w:w="8426"/>
      </w:tblGrid>
      <w:tr>
        <w:trPr>
          <w:tblHeader/>
        </w:trPr>
        <w:tc>
          <w:tcPr>
            <w:tcW w:type="dxa" w:w="60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w:t>
            </w:r>
          </w:p>
        </w:tc>
        <w:tc>
          <w:tcPr>
            <w:tcW w:type="dxa" w:w="8426"/>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Pregunta de control</w:t>
            </w:r>
          </w:p>
        </w:tc>
      </w:tr>
      <w:tr>
        <w:tc>
          <w:tcPr>
            <w:tcW w:type="dxa" w:w="6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1</w:t>
            </w:r>
          </w:p>
        </w:tc>
        <w:tc>
          <w:tcPr>
            <w:tcW w:type="dxa" w:w="84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¿Tiene ID estable, propietario de ficha con nombre, y versión con motivo de cambio?</w:t>
            </w:r>
          </w:p>
        </w:tc>
      </w:tr>
      <w:tr>
        <w:tc>
          <w:tcPr>
            <w:tcW w:type="dxa" w:w="6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2</w:t>
            </w:r>
          </w:p>
        </w:tc>
        <w:tc>
          <w:tcPr>
            <w:tcW w:type="dxa" w:w="84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¿La misión cabe en una frase y suena a Vrutal, sin lenguaje de folleto?</w:t>
            </w:r>
          </w:p>
        </w:tc>
      </w:tr>
      <w:tr>
        <w:tc>
          <w:tcPr>
            <w:tcW w:type="dxa" w:w="6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3</w:t>
            </w:r>
          </w:p>
        </w:tc>
        <w:tc>
          <w:tcPr>
            <w:tcW w:type="dxa" w:w="84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¿Están declarados los tres vectores de posición: arriba, abajo y sinapsis?</w:t>
            </w:r>
          </w:p>
        </w:tc>
      </w:tr>
      <w:tr>
        <w:tc>
          <w:tcPr>
            <w:tcW w:type="dxa" w:w="6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4</w:t>
            </w:r>
          </w:p>
        </w:tc>
        <w:tc>
          <w:tcPr>
            <w:tcW w:type="dxa" w:w="84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¿El alcance autónomo está calibrado por coste del error y no por importancia del área?</w:t>
            </w:r>
          </w:p>
        </w:tc>
      </w:tr>
      <w:tr>
        <w:tc>
          <w:tcPr>
            <w:tcW w:type="dxa" w:w="6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5</w:t>
            </w:r>
          </w:p>
        </w:tc>
        <w:tc>
          <w:tcPr>
            <w:tcW w:type="dxa" w:w="84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¿Existe al menos una línea en «Nunca hace» específica de este rol, además del Playbook?</w:t>
            </w:r>
          </w:p>
        </w:tc>
      </w:tr>
      <w:tr>
        <w:tc>
          <w:tcPr>
            <w:tcW w:type="dxa" w:w="6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6</w:t>
            </w:r>
          </w:p>
        </w:tc>
        <w:tc>
          <w:tcPr>
            <w:tcW w:type="dxa" w:w="84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¿Está rellena la matriz de interlocución, incluida explícitamente la fila D4?</w:t>
            </w:r>
          </w:p>
        </w:tc>
      </w:tr>
      <w:tr>
        <w:tc>
          <w:tcPr>
            <w:tcW w:type="dxa" w:w="6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7</w:t>
            </w:r>
          </w:p>
        </w:tc>
        <w:tc>
          <w:tcPr>
            <w:tcW w:type="dxa" w:w="84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¿Cada sistema de C1 tiene su nivel W declarado y aprobado por alguien con nombre?</w:t>
            </w:r>
          </w:p>
        </w:tc>
      </w:tr>
      <w:tr>
        <w:tc>
          <w:tcPr>
            <w:tcW w:type="dxa" w:w="6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8</w:t>
            </w:r>
          </w:p>
        </w:tc>
        <w:tc>
          <w:tcPr>
            <w:tcW w:type="dxa" w:w="84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¿El techo económico está expresado en euros, aunque el valor sea 0 €?</w:t>
            </w:r>
          </w:p>
        </w:tc>
      </w:tr>
      <w:tr>
        <w:tc>
          <w:tcPr>
            <w:tcW w:type="dxa" w:w="6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9</w:t>
            </w:r>
          </w:p>
        </w:tc>
        <w:tc>
          <w:tcPr>
            <w:tcW w:type="dxa" w:w="84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¿Cada canal tiene su columna de «qué nunca se trata aquí» y su latencia comprometida?</w:t>
            </w:r>
          </w:p>
        </w:tc>
      </w:tr>
      <w:tr>
        <w:tc>
          <w:tcPr>
            <w:tcW w:type="dxa" w:w="6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10</w:t>
            </w:r>
          </w:p>
        </w:tc>
        <w:tc>
          <w:tcPr>
            <w:tcW w:type="dxa" w:w="84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¿Los siete bloques de wiki están enlazados, fechados, con propietario y con clase de divulgación en el payload?</w:t>
            </w:r>
          </w:p>
        </w:tc>
      </w:tr>
      <w:tr>
        <w:tc>
          <w:tcPr>
            <w:tcW w:type="dxa" w:w="6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11</w:t>
            </w:r>
          </w:p>
        </w:tc>
        <w:tc>
          <w:tcPr>
            <w:tcW w:type="dxa" w:w="84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¿La métrica de éxito es un número, no un adjetivo?</w:t>
            </w:r>
          </w:p>
        </w:tc>
      </w:tr>
      <w:tr>
        <w:tc>
          <w:tcPr>
            <w:tcW w:type="dxa" w:w="6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12</w:t>
            </w:r>
          </w:p>
        </w:tc>
        <w:tc>
          <w:tcPr>
            <w:tcW w:type="dxa" w:w="84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¿Hay un disparador de revisión que no sea el calendario?</w:t>
            </w:r>
          </w:p>
        </w:tc>
      </w:tr>
    </w:tbl>
    <w:tbl>
      <w:tblPr>
        <w:tblW w:type="dxa" w:w="9026"/>
        <w:tblBorders>
          <w:top w:val="none"/>
          <w:left w:val="single" w:color="FF6A00" w:sz="18"/>
          <w:bottom w:val="none"/>
          <w:right w:val="none"/>
          <w:insideH w:val="none"/>
          <w:insideV w:val="none"/>
        </w:tblBorders>
      </w:tblPr>
      <w:tblGrid>
        <w:gridCol w:w="9026"/>
      </w:tblGrid>
      <w:tr>
        <w:tc>
          <w:tcPr>
            <w:tcW w:type="dxa" w:w="9026"/>
            <w:shd w:fill="F8F8F6" w:val="clear"/>
            <w:tcMar>
              <w:top w:type="dxa" w:w="140"/>
              <w:left w:type="dxa" w:w="200"/>
              <w:bottom w:type="dxa" w:w="140"/>
              <w:right w:type="dxa" w:w="200"/>
            </w:tcMar>
          </w:tcPr>
          <w:p>
            <w:pPr>
              <w:spacing w:after="0" w:line="300"/>
            </w:pPr>
            <w:r>
              <w:rPr>
                <w:rFonts w:ascii="Inter" w:cs="Inter" w:eastAsia="Inter" w:hAnsi="Inter"/>
                <w:b/>
                <w:bCs/>
                <w:color w:val="FF6A00"/>
                <w:sz w:val="20"/>
                <w:szCs w:val="20"/>
              </w:rPr>
              <w:t xml:space="preserve">Qué significa aprobar. </w:t>
            </w:r>
            <w:r>
              <w:rPr>
                <w:rFonts w:ascii="Inter" w:cs="Inter" w:eastAsia="Inter" w:hAnsi="Inter"/>
                <w:color w:val="111111"/>
                <w:sz w:val="20"/>
                <w:szCs w:val="20"/>
              </w:rPr>
              <w:t xml:space="preserve">Doce síes activan el rol con el alcance más conservador que la ficha permite. El alcance se amplía después solo con evidencia acumulada, nunca por calendario ni por confianza.</w:t>
            </w:r>
          </w:p>
        </w:tc>
      </w:tr>
    </w:tbl>
    <w:p>
      <w:r>
        <w:br w:type="page"/>
      </w:r>
    </w:p>
    <w:p>
      <w:pPr>
        <w:pStyle w:val="Heading1"/>
        <w:pBdr>
          <w:bottom w:val="single" w:color="FF6A00" w:sz="12" w:space="6"/>
        </w:pBdr>
        <w:spacing w:after="200" w:before="400"/>
      </w:pPr>
      <w:r>
        <w:rPr>
          <w:rFonts w:ascii="Inter" w:cs="Inter" w:eastAsia="Inter" w:hAnsi="Inter"/>
          <w:b/>
          <w:bCs/>
          <w:color w:val="111111"/>
          <w:sz w:val="30"/>
          <w:szCs w:val="30"/>
        </w:rPr>
        <w:t xml:space="preserve">VII · Ficha ejemplo rellena</w:t>
      </w:r>
    </w:p>
    <w:p>
      <w:pPr>
        <w:spacing w:after="60" w:line="300"/>
      </w:pPr>
      <w:r>
        <w:rPr>
          <w:rFonts w:ascii="Inter" w:cs="Inter" w:eastAsia="Inter" w:hAnsi="Inter"/>
          <w:b/>
          <w:bCs/>
          <w:color w:val="111111"/>
          <w:sz w:val="26"/>
          <w:szCs w:val="26"/>
        </w:rPr>
        <w:t xml:space="preserve">MKT-EJE-01 · Especialista de Demanda (SEO/SEM)</w:t>
      </w:r>
    </w:p>
    <w:p>
      <w:pPr>
        <w:spacing w:after="120" w:line="300"/>
      </w:pPr>
      <w:r>
        <w:rPr>
          <w:rFonts w:ascii="Inter" w:cs="Inter" w:eastAsia="Inter" w:hAnsi="Inter"/>
          <w:i/>
          <w:iCs/>
          <w:color w:val="6B6B6B"/>
          <w:sz w:val="20"/>
          <w:szCs w:val="20"/>
        </w:rPr>
        <w:t xml:space="preserve">Rol interno de Vrutal. Se elige como ejemplo porque activa todos los campos difíciles a la vez: toca presupuesto real, publica contenido público, maneja datos de rendimiento restringidos y reporta a Dirección.</w:t>
      </w:r>
    </w:p>
    <w:p>
      <w:pPr>
        <w:pStyle w:val="Heading2"/>
        <w:spacing w:after="140" w:before="320"/>
      </w:pPr>
      <w:r>
        <w:rPr>
          <w:rFonts w:ascii="Inter" w:cs="Inter" w:eastAsia="Inter" w:hAnsi="Inter"/>
          <w:b/>
          <w:bCs/>
          <w:color w:val="111111"/>
          <w:sz w:val="24"/>
          <w:szCs w:val="24"/>
        </w:rPr>
        <w:t xml:space="preserve">Bloque A · Identidad</w:t>
      </w:r>
    </w:p>
    <w:tbl>
      <w:tblPr>
        <w:tblW w:type="dxa" w:w="9026"/>
        <w:tblBorders>
          <w:top w:val="single" w:color="DDDDD8" w:sz="4"/>
          <w:left w:val="single" w:color="DDDDD8" w:sz="4"/>
          <w:bottom w:val="single" w:color="DDDDD8" w:sz="4"/>
          <w:right w:val="single" w:color="DDDDD8" w:sz="4"/>
          <w:insideH w:val="single" w:color="DDDDD8" w:sz="4"/>
          <w:insideV w:val="single" w:color="DDDDD8" w:sz="4"/>
        </w:tblBorders>
      </w:tblPr>
      <w:tblGrid>
        <w:gridCol w:w="2400"/>
        <w:gridCol w:w="6626"/>
      </w:tblGrid>
      <w:tr>
        <w:tc>
          <w:tcPr>
            <w:tcW w:type="dxa" w:w="24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A1 · ID de rol</w:t>
            </w:r>
          </w:p>
        </w:tc>
        <w:tc>
          <w:tcPr>
            <w:tcW w:type="dxa" w:w="66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MKT-EJE-01</w:t>
            </w:r>
          </w:p>
        </w:tc>
      </w:tr>
      <w:tr>
        <w:tc>
          <w:tcPr>
            <w:tcW w:type="dxa" w:w="24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A2 · Rol</w:t>
            </w:r>
          </w:p>
        </w:tc>
        <w:tc>
          <w:tcPr>
            <w:tcW w:type="dxa" w:w="66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Especialista de Demanda (SEO/SEM)</w:t>
            </w:r>
          </w:p>
        </w:tc>
      </w:tr>
      <w:tr>
        <w:tc>
          <w:tcPr>
            <w:tcW w:type="dxa" w:w="24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A3 · Naturaleza</w:t>
            </w:r>
          </w:p>
        </w:tc>
        <w:tc>
          <w:tcPr>
            <w:tcW w:type="dxa" w:w="66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Híbrido — especialista de IA con propietario humano asignado</w:t>
            </w:r>
          </w:p>
        </w:tc>
      </w:tr>
      <w:tr>
        <w:tc>
          <w:tcPr>
            <w:tcW w:type="dxa" w:w="24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A4 · Misión</w:t>
            </w:r>
          </w:p>
        </w:tc>
        <w:tc>
          <w:tcPr>
            <w:tcW w:type="dxa" w:w="66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Convertir la búsqueda —pagada y orgánica— en conversaciones cualificadas con CEOs de empresas de menos de 50 empleados, a un coste que la propia Vrutal pueda defender con datos.</w:t>
            </w:r>
          </w:p>
        </w:tc>
      </w:tr>
      <w:tr>
        <w:tc>
          <w:tcPr>
            <w:tcW w:type="dxa" w:w="24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A5 · Posición</w:t>
            </w:r>
          </w:p>
        </w:tc>
        <w:tc>
          <w:tcPr>
            <w:tcW w:type="dxa" w:w="6626"/>
            <w:shd w:fill="FFFFFF" w:val="clear"/>
            <w:tcMar>
              <w:top w:type="dxa" w:w="90"/>
              <w:left w:type="dxa" w:w="130"/>
              <w:bottom w:type="dxa" w:w="90"/>
              <w:right w:type="dxa" w:w="130"/>
            </w:tcMar>
          </w:tcPr>
          <w:p>
            <w:pPr>
              <w:spacing w:after="60" w:line="260"/>
            </w:pPr>
            <w:r>
              <w:rPr>
                <w:rFonts w:ascii="Inter" w:cs="Inter" w:eastAsia="Inter" w:hAnsi="Inter"/>
                <w:color w:val="111111"/>
                <w:sz w:val="18"/>
                <w:szCs w:val="18"/>
              </w:rPr>
              <w:t xml:space="preserve">Reporta a: Director de Marketing.</w:t>
            </w:r>
          </w:p>
          <w:p>
            <w:pPr>
              <w:spacing w:after="60" w:line="260"/>
            </w:pPr>
            <w:r>
              <w:rPr>
                <w:rFonts w:ascii="Inter" w:cs="Inter" w:eastAsia="Inter" w:hAnsi="Inter"/>
                <w:color w:val="111111"/>
                <w:sz w:val="18"/>
                <w:szCs w:val="18"/>
              </w:rPr>
              <w:t xml:space="preserve">Le reporta: nadie.</w:t>
            </w:r>
          </w:p>
          <w:p>
            <w:pPr>
              <w:spacing w:after="0" w:line="260"/>
            </w:pPr>
            <w:r>
              <w:rPr>
                <w:rFonts w:ascii="Inter" w:cs="Inter" w:eastAsia="Inter" w:hAnsi="Inter"/>
                <w:color w:val="111111"/>
                <w:sz w:val="18"/>
                <w:szCs w:val="18"/>
              </w:rPr>
              <w:t xml:space="preserve">Sinapsis: Especialista de Contenido (voz de marca), Agente de Documentación y Reporting (métricas), LAB 10 Sales (calidad del lead entregado).</w:t>
            </w:r>
          </w:p>
        </w:tc>
      </w:tr>
      <w:tr>
        <w:tc>
          <w:tcPr>
            <w:tcW w:type="dxa" w:w="24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A6 · Propietario de la ficha</w:t>
            </w:r>
          </w:p>
        </w:tc>
        <w:tc>
          <w:tcPr>
            <w:tcW w:type="dxa" w:w="66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Director de Marketing</w:t>
            </w:r>
          </w:p>
        </w:tc>
      </w:tr>
    </w:tbl>
    <w:p>
      <w:pPr>
        <w:pStyle w:val="Heading2"/>
        <w:spacing w:after="140" w:before="320"/>
      </w:pPr>
      <w:r>
        <w:rPr>
          <w:rFonts w:ascii="Inter" w:cs="Inter" w:eastAsia="Inter" w:hAnsi="Inter"/>
          <w:b/>
          <w:bCs/>
          <w:color w:val="111111"/>
          <w:sz w:val="24"/>
          <w:szCs w:val="24"/>
        </w:rPr>
        <w:t xml:space="preserve">Bloque B · Autoridad</w:t>
      </w:r>
    </w:p>
    <w:tbl>
      <w:tblPr>
        <w:tblW w:type="dxa" w:w="9026"/>
        <w:tblBorders>
          <w:top w:val="single" w:color="DDDDD8" w:sz="4"/>
          <w:left w:val="single" w:color="DDDDD8" w:sz="4"/>
          <w:bottom w:val="single" w:color="DDDDD8" w:sz="4"/>
          <w:right w:val="single" w:color="DDDDD8" w:sz="4"/>
          <w:insideH w:val="single" w:color="DDDDD8" w:sz="4"/>
          <w:insideV w:val="single" w:color="DDDDD8" w:sz="4"/>
        </w:tblBorders>
      </w:tblPr>
      <w:tblGrid>
        <w:gridCol w:w="2400"/>
        <w:gridCol w:w="6626"/>
      </w:tblGrid>
      <w:tr>
        <w:tc>
          <w:tcPr>
            <w:tcW w:type="dxa" w:w="24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B1 · Alcance autónomo</w:t>
            </w:r>
          </w:p>
        </w:tc>
        <w:tc>
          <w:tcPr>
            <w:tcW w:type="dxa" w:w="66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Ajusta pujas y reparto de presupuesto diario dentro del presupuesto mensual ya aprobado. Pausa anuncios de bajo rendimiento. Prueba variaciones de copy dentro de plantillas aprobadas. Optimiza contenido ya publicado sin cambiar su tesis. Prioriza oportunidades de keyword.</w:t>
            </w:r>
          </w:p>
        </w:tc>
      </w:tr>
      <w:tr>
        <w:tc>
          <w:tcPr>
            <w:tcW w:type="dxa" w:w="24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B2 · Requiere aprobación</w:t>
            </w:r>
          </w:p>
        </w:tc>
        <w:tc>
          <w:tcPr>
            <w:tcW w:type="dxa" w:w="66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Del Director de Marketing: cualquier aumento del presupuesto total; apertura de un canal publicitario nuevo; publicación de contenido nuevo de cara al público; creatividades fuera de plantilla; cambios estructurales de la web.</w:t>
            </w:r>
          </w:p>
        </w:tc>
      </w:tr>
      <w:tr>
        <w:tc>
          <w:tcPr>
            <w:tcW w:type="dxa" w:w="24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B3 · Nunca hace</w:t>
            </w:r>
          </w:p>
        </w:tc>
        <w:tc>
          <w:tcPr>
            <w:tcW w:type="dxa" w:w="66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No excede el presupuesto aprobado bajo ninguna circunstancia. No publica contenido nuevo sin revisión de voz de marca. No compra enlaces ni usa tácticas de manipulación de ranking. No nombra a un cliente en una pieza pública sin autorización escrita de ese cliente.</w:t>
            </w:r>
          </w:p>
        </w:tc>
      </w:tr>
      <w:tr>
        <w:tc>
          <w:tcPr>
            <w:tcW w:type="dxa" w:w="24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B4 · Divulgación máxima</w:t>
            </w:r>
          </w:p>
        </w:tc>
        <w:tc>
          <w:tcPr>
            <w:tcW w:type="dxa" w:w="6626"/>
            <w:shd w:fill="FFFFFF" w:val="clear"/>
            <w:tcMar>
              <w:top w:type="dxa" w:w="90"/>
              <w:left w:type="dxa" w:w="130"/>
              <w:bottom w:type="dxa" w:w="90"/>
              <w:right w:type="dxa" w:w="130"/>
            </w:tcMar>
          </w:tcPr>
          <w:p>
            <w:pPr>
              <w:spacing w:after="0" w:line="260"/>
            </w:pPr>
            <w:r>
              <w:rPr>
                <w:rFonts w:ascii="Inter" w:cs="Inter" w:eastAsia="Inter" w:hAnsi="Inter"/>
                <w:b/>
                <w:bCs/>
                <w:color w:val="FF6A00"/>
                <w:sz w:val="18"/>
                <w:szCs w:val="18"/>
              </w:rPr>
              <w:t xml:space="preserve">D3 — Restringida</w:t>
            </w:r>
          </w:p>
        </w:tc>
      </w:tr>
      <w:tr>
        <w:tc>
          <w:tcPr>
            <w:tcW w:type="dxa" w:w="24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B5 · Interlocución</w:t>
            </w:r>
          </w:p>
        </w:tc>
        <w:tc>
          <w:tcPr>
            <w:tcW w:type="dxa" w:w="66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Matriz por defecto, con una restricción añadida: no responde D3 a A1 (clientes), porque el dato de rendimiento que maneja es de Vrutal, no de la cuenta del cliente.</w:t>
            </w:r>
          </w:p>
        </w:tc>
      </w:tr>
      <w:tr>
        <w:tc>
          <w:tcPr>
            <w:tcW w:type="dxa" w:w="24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B7 · Autoridad económica</w:t>
            </w:r>
          </w:p>
        </w:tc>
        <w:tc>
          <w:tcPr>
            <w:tcW w:type="dxa" w:w="66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0 € de aumento. Reasignación libre dentro del presupuesto mensual aprobado. Alerta automática al 80 % del techo.</w:t>
            </w:r>
          </w:p>
        </w:tc>
      </w:tr>
    </w:tbl>
    <w:p>
      <w:pPr>
        <w:pStyle w:val="Heading3"/>
        <w:spacing w:after="100" w:before="240"/>
      </w:pPr>
      <w:r>
        <w:rPr>
          <w:rFonts w:ascii="Inter" w:cs="Inter" w:eastAsia="Inter" w:hAnsi="Inter"/>
          <w:b/>
          <w:bCs/>
          <w:color w:val="FF6A00"/>
          <w:sz w:val="21"/>
          <w:szCs w:val="21"/>
        </w:rPr>
        <w:t xml:space="preserve">B6 · Permisos de escritura</w:t>
      </w:r>
    </w:p>
    <w:tbl>
      <w:tblPr>
        <w:tblW w:type="dxa" w:w="9026"/>
        <w:tblBorders>
          <w:top w:val="single" w:color="DDDDD8" w:sz="4"/>
          <w:left w:val="single" w:color="DDDDD8" w:sz="4"/>
          <w:bottom w:val="single" w:color="DDDDD8" w:sz="4"/>
          <w:right w:val="single" w:color="DDDDD8" w:sz="4"/>
          <w:insideH w:val="single" w:color="DDDDD8" w:sz="4"/>
          <w:insideV w:val="single" w:color="DDDDD8" w:sz="4"/>
        </w:tblBorders>
      </w:tblPr>
      <w:tblGrid>
        <w:gridCol w:w="2500"/>
        <w:gridCol w:w="900"/>
        <w:gridCol w:w="3300"/>
        <w:gridCol w:w="2326"/>
      </w:tblGrid>
      <w:tr>
        <w:trPr>
          <w:tblHeader/>
        </w:trPr>
        <w:tc>
          <w:tcPr>
            <w:tcW w:type="dxa" w:w="250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Sistema</w:t>
            </w:r>
          </w:p>
        </w:tc>
        <w:tc>
          <w:tcPr>
            <w:tcW w:type="dxa" w:w="90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Nivel</w:t>
            </w:r>
          </w:p>
        </w:tc>
        <w:tc>
          <w:tcPr>
            <w:tcW w:type="dxa" w:w="330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Alcance concreto</w:t>
            </w:r>
          </w:p>
        </w:tc>
        <w:tc>
          <w:tcPr>
            <w:tcW w:type="dxa" w:w="2326"/>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Aprobado por</w:t>
            </w:r>
          </w:p>
        </w:tc>
      </w:tr>
      <w:tr>
        <w:tc>
          <w:tcPr>
            <w:tcW w:type="dxa" w:w="25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Plataforma de anuncios</w:t>
            </w:r>
          </w:p>
        </w:tc>
        <w:tc>
          <w:tcPr>
            <w:tcW w:type="dxa" w:w="9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W2</w:t>
            </w:r>
          </w:p>
        </w:tc>
        <w:tc>
          <w:tcPr>
            <w:tcW w:type="dxa" w:w="33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Pujas, pausas y reparto dentro del presupuesto aprobado</w:t>
            </w:r>
          </w:p>
        </w:tc>
        <w:tc>
          <w:tcPr>
            <w:tcW w:type="dxa" w:w="23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Director de Marketing</w:t>
            </w:r>
          </w:p>
        </w:tc>
      </w:tr>
      <w:tr>
        <w:tc>
          <w:tcPr>
            <w:tcW w:type="dxa" w:w="25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CMS del sitio</w:t>
            </w:r>
          </w:p>
        </w:tc>
        <w:tc>
          <w:tcPr>
            <w:tcW w:type="dxa" w:w="9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W1</w:t>
            </w:r>
          </w:p>
        </w:tc>
        <w:tc>
          <w:tcPr>
            <w:tcW w:type="dxa" w:w="33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Solo borradores. La publicación la ejecuta otro</w:t>
            </w:r>
          </w:p>
        </w:tc>
        <w:tc>
          <w:tcPr>
            <w:tcW w:type="dxa" w:w="23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Director de Marketing</w:t>
            </w:r>
          </w:p>
        </w:tc>
      </w:tr>
      <w:tr>
        <w:tc>
          <w:tcPr>
            <w:tcW w:type="dxa" w:w="25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Search Console</w:t>
            </w:r>
          </w:p>
        </w:tc>
        <w:tc>
          <w:tcPr>
            <w:tcW w:type="dxa" w:w="9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W0</w:t>
            </w:r>
          </w:p>
        </w:tc>
        <w:tc>
          <w:tcPr>
            <w:tcW w:type="dxa" w:w="33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Lectura</w:t>
            </w:r>
          </w:p>
        </w:tc>
        <w:tc>
          <w:tcPr>
            <w:tcW w:type="dxa" w:w="23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w:t>
            </w:r>
          </w:p>
        </w:tc>
      </w:tr>
      <w:tr>
        <w:tc>
          <w:tcPr>
            <w:tcW w:type="dxa" w:w="25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PostgreSQL</w:t>
            </w:r>
          </w:p>
        </w:tc>
        <w:tc>
          <w:tcPr>
            <w:tcW w:type="dxa" w:w="9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W0</w:t>
            </w:r>
          </w:p>
        </w:tc>
        <w:tc>
          <w:tcPr>
            <w:tcW w:type="dxa" w:w="33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Lectura de tablas de rendimiento de keyword y campaña</w:t>
            </w:r>
          </w:p>
        </w:tc>
        <w:tc>
          <w:tcPr>
            <w:tcW w:type="dxa" w:w="23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w:t>
            </w:r>
          </w:p>
        </w:tc>
      </w:tr>
      <w:tr>
        <w:tc>
          <w:tcPr>
            <w:tcW w:type="dxa" w:w="25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Qdrant</w:t>
            </w:r>
          </w:p>
        </w:tc>
        <w:tc>
          <w:tcPr>
            <w:tcW w:type="dxa" w:w="9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W2</w:t>
            </w:r>
          </w:p>
        </w:tc>
        <w:tc>
          <w:tcPr>
            <w:tcW w:type="dxa" w:w="33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Escribe aprendizajes de campaña en su bloque 6</w:t>
            </w:r>
          </w:p>
        </w:tc>
        <w:tc>
          <w:tcPr>
            <w:tcW w:type="dxa" w:w="23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Director de Marketing</w:t>
            </w:r>
          </w:p>
        </w:tc>
      </w:tr>
      <w:tr>
        <w:tc>
          <w:tcPr>
            <w:tcW w:type="dxa" w:w="25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Power BI</w:t>
            </w:r>
          </w:p>
        </w:tc>
        <w:tc>
          <w:tcPr>
            <w:tcW w:type="dxa" w:w="9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W2</w:t>
            </w:r>
          </w:p>
        </w:tc>
        <w:tc>
          <w:tcPr>
            <w:tcW w:type="dxa" w:w="33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Actualiza su propio panel. No modifica el modelo de datos</w:t>
            </w:r>
          </w:p>
        </w:tc>
        <w:tc>
          <w:tcPr>
            <w:tcW w:type="dxa" w:w="23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Director de Marketing</w:t>
            </w:r>
          </w:p>
        </w:tc>
      </w:tr>
    </w:tbl>
    <w:p>
      <w:pPr>
        <w:pStyle w:val="Heading2"/>
        <w:spacing w:after="140" w:before="320"/>
      </w:pPr>
      <w:r>
        <w:rPr>
          <w:rFonts w:ascii="Inter" w:cs="Inter" w:eastAsia="Inter" w:hAnsi="Inter"/>
          <w:b/>
          <w:bCs/>
          <w:color w:val="111111"/>
          <w:sz w:val="24"/>
          <w:szCs w:val="24"/>
        </w:rPr>
        <w:t xml:space="preserve">Bloque C · Conexión</w:t>
      </w:r>
    </w:p>
    <w:tbl>
      <w:tblPr>
        <w:tblW w:type="dxa" w:w="9026"/>
        <w:tblBorders>
          <w:top w:val="single" w:color="DDDDD8" w:sz="4"/>
          <w:left w:val="single" w:color="DDDDD8" w:sz="4"/>
          <w:bottom w:val="single" w:color="DDDDD8" w:sz="4"/>
          <w:right w:val="single" w:color="DDDDD8" w:sz="4"/>
          <w:insideH w:val="single" w:color="DDDDD8" w:sz="4"/>
          <w:insideV w:val="single" w:color="DDDDD8" w:sz="4"/>
        </w:tblBorders>
      </w:tblPr>
      <w:tblGrid>
        <w:gridCol w:w="2400"/>
        <w:gridCol w:w="6626"/>
      </w:tblGrid>
      <w:tr>
        <w:tc>
          <w:tcPr>
            <w:tcW w:type="dxa" w:w="24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C1 · Herramientas</w:t>
            </w:r>
          </w:p>
        </w:tc>
        <w:tc>
          <w:tcPr>
            <w:tcW w:type="dxa" w:w="66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Search Console, herramienta de keyword research, plataformas de anuncios de búsqueda y social, CMS, Power BI. Todo vía n8n. Ninguna integración directa.</w:t>
            </w:r>
          </w:p>
        </w:tc>
      </w:tr>
      <w:tr>
        <w:tc>
          <w:tcPr>
            <w:tcW w:type="dxa" w:w="24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C2 · Memoria</w:t>
            </w:r>
          </w:p>
        </w:tc>
        <w:tc>
          <w:tcPr>
            <w:tcW w:type="dxa" w:w="6626"/>
            <w:shd w:fill="FFFFFF" w:val="clear"/>
            <w:tcMar>
              <w:top w:type="dxa" w:w="90"/>
              <w:left w:type="dxa" w:w="130"/>
              <w:bottom w:type="dxa" w:w="90"/>
              <w:right w:type="dxa" w:w="130"/>
            </w:tcMar>
          </w:tcPr>
          <w:p>
            <w:pPr>
              <w:spacing w:after="60" w:line="260"/>
            </w:pPr>
            <w:r>
              <w:rPr>
                <w:rFonts w:ascii="Inter" w:cs="Inter" w:eastAsia="Inter" w:hAnsi="Inter"/>
                <w:color w:val="111111"/>
                <w:sz w:val="18"/>
                <w:szCs w:val="18"/>
              </w:rPr>
              <w:t xml:space="preserve">PostgreSQL: rendimiento histórico de keywords, campañas y CAC por canal.</w:t>
            </w:r>
          </w:p>
          <w:p>
            <w:pPr>
              <w:spacing w:after="0" w:line="260"/>
            </w:pPr>
            <w:r>
              <w:rPr>
                <w:rFonts w:ascii="Inter" w:cs="Inter" w:eastAsia="Inter" w:hAnsi="Inter"/>
                <w:color w:val="111111"/>
                <w:sz w:val="18"/>
                <w:szCs w:val="18"/>
              </w:rPr>
              <w:t xml:space="preserve">Qdrant: guías de voz de marca —recuperadas obligatoriamente antes de redactar cualquier pieza— y creatividades ya probadas, para no repetir lo que no funcionó.</w:t>
            </w:r>
          </w:p>
        </w:tc>
      </w:tr>
      <w:tr>
        <w:tc>
          <w:tcPr>
            <w:tcW w:type="dxa" w:w="24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C4 · Escalado</w:t>
            </w:r>
          </w:p>
        </w:tc>
        <w:tc>
          <w:tcPr>
            <w:tcW w:type="dxa" w:w="6626"/>
            <w:shd w:fill="FFFFFF" w:val="clear"/>
            <w:tcMar>
              <w:top w:type="dxa" w:w="90"/>
              <w:left w:type="dxa" w:w="130"/>
              <w:bottom w:type="dxa" w:w="90"/>
              <w:right w:type="dxa" w:w="130"/>
            </w:tcMar>
          </w:tcPr>
          <w:p>
            <w:pPr>
              <w:spacing w:after="60" w:line="260"/>
            </w:pPr>
            <w:r>
              <w:rPr>
                <w:rFonts w:ascii="Inter" w:cs="Inter" w:eastAsia="Inter" w:hAnsi="Inter"/>
                <w:color w:val="111111"/>
                <w:sz w:val="18"/>
                <w:szCs w:val="18"/>
              </w:rPr>
              <w:t xml:space="preserve">Gasto al 80 % del techo mensual → Director de Marketing → inmediato.</w:t>
            </w:r>
          </w:p>
          <w:p>
            <w:pPr>
              <w:spacing w:after="60" w:line="260"/>
            </w:pPr>
            <w:r>
              <w:rPr>
                <w:rFonts w:ascii="Inter" w:cs="Inter" w:eastAsia="Inter" w:hAnsi="Inter"/>
                <w:color w:val="111111"/>
                <w:sz w:val="18"/>
                <w:szCs w:val="18"/>
              </w:rPr>
              <w:t xml:space="preserve">CAC 30 % por encima del objetivo dos semanas seguidas → Director de Marketing → en 24 h.</w:t>
            </w:r>
          </w:p>
          <w:p>
            <w:pPr>
              <w:spacing w:after="0" w:line="260"/>
            </w:pPr>
            <w:r>
              <w:rPr>
                <w:rFonts w:ascii="Inter" w:cs="Inter" w:eastAsia="Inter" w:hAnsi="Inter"/>
                <w:color w:val="111111"/>
                <w:sz w:val="18"/>
                <w:szCs w:val="18"/>
              </w:rPr>
              <w:t xml:space="preserve">Caída de tráfico orgánico superior al 20 % semana contra semana → Director de Marketing → inmediato.</w:t>
            </w:r>
          </w:p>
        </w:tc>
      </w:tr>
      <w:tr>
        <w:tc>
          <w:tcPr>
            <w:tcW w:type="dxa" w:w="24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C5 · Latencia</w:t>
            </w:r>
          </w:p>
        </w:tc>
        <w:tc>
          <w:tcPr>
            <w:tcW w:type="dxa" w:w="66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Ver tabla de canales.</w:t>
            </w:r>
          </w:p>
        </w:tc>
      </w:tr>
    </w:tbl>
    <w:p>
      <w:pPr>
        <w:pStyle w:val="Heading3"/>
        <w:spacing w:after="100" w:before="240"/>
      </w:pPr>
      <w:r>
        <w:rPr>
          <w:rFonts w:ascii="Inter" w:cs="Inter" w:eastAsia="Inter" w:hAnsi="Inter"/>
          <w:b/>
          <w:bCs/>
          <w:color w:val="FF6A00"/>
          <w:sz w:val="21"/>
          <w:szCs w:val="21"/>
        </w:rPr>
        <w:t xml:space="preserve">C3 · Canales</w:t>
      </w:r>
    </w:p>
    <w:tbl>
      <w:tblPr>
        <w:tblW w:type="dxa" w:w="9026"/>
        <w:tblBorders>
          <w:top w:val="single" w:color="DDDDD8" w:sz="4"/>
          <w:left w:val="single" w:color="DDDDD8" w:sz="4"/>
          <w:bottom w:val="single" w:color="DDDDD8" w:sz="4"/>
          <w:right w:val="single" w:color="DDDDD8" w:sz="4"/>
          <w:insideH w:val="single" w:color="DDDDD8" w:sz="4"/>
          <w:insideV w:val="single" w:color="DDDDD8" w:sz="4"/>
        </w:tblBorders>
      </w:tblPr>
      <w:tblGrid>
        <w:gridCol w:w="1450"/>
        <w:gridCol w:w="1450"/>
        <w:gridCol w:w="1400"/>
        <w:gridCol w:w="1900"/>
        <w:gridCol w:w="1676"/>
        <w:gridCol w:w="1150"/>
      </w:tblGrid>
      <w:tr>
        <w:trPr>
          <w:tblHeader/>
        </w:trPr>
        <w:tc>
          <w:tcPr>
            <w:tcW w:type="dxa" w:w="145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Canal</w:t>
            </w:r>
          </w:p>
        </w:tc>
        <w:tc>
          <w:tcPr>
            <w:tcW w:type="dxa" w:w="145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Dirección</w:t>
            </w:r>
          </w:p>
        </w:tc>
        <w:tc>
          <w:tcPr>
            <w:tcW w:type="dxa" w:w="140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Con quién</w:t>
            </w:r>
          </w:p>
        </w:tc>
        <w:tc>
          <w:tcPr>
            <w:tcW w:type="dxa" w:w="190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Qué se trata</w:t>
            </w:r>
          </w:p>
        </w:tc>
        <w:tc>
          <w:tcPr>
            <w:tcW w:type="dxa" w:w="1676"/>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Qué nunca se trata</w:t>
            </w:r>
          </w:p>
        </w:tc>
        <w:tc>
          <w:tcPr>
            <w:tcW w:type="dxa" w:w="115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Latencia</w:t>
            </w:r>
          </w:p>
        </w:tc>
      </w:tr>
      <w:tr>
        <w:tc>
          <w:tcPr>
            <w:tcW w:type="dxa" w:w="145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Panel Power BI</w:t>
            </w:r>
          </w:p>
        </w:tc>
        <w:tc>
          <w:tcPr>
            <w:tcW w:type="dxa" w:w="145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Salida</w:t>
            </w:r>
          </w:p>
        </w:tc>
        <w:tc>
          <w:tcPr>
            <w:tcW w:type="dxa" w:w="14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Dirección</w:t>
            </w:r>
          </w:p>
        </w:tc>
        <w:tc>
          <w:tcPr>
            <w:tcW w:type="dxa" w:w="19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CAC, ROAS, volumen y calidad de lead</w:t>
            </w:r>
          </w:p>
        </w:tc>
        <w:tc>
          <w:tcPr>
            <w:tcW w:type="dxa" w:w="167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Dato personal de un lead identificable</w:t>
            </w:r>
          </w:p>
        </w:tc>
        <w:tc>
          <w:tcPr>
            <w:tcW w:type="dxa" w:w="115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Diaria</w:t>
            </w:r>
          </w:p>
        </w:tc>
      </w:tr>
      <w:tr>
        <w:tc>
          <w:tcPr>
            <w:tcW w:type="dxa" w:w="145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Canal de marketing</w:t>
            </w:r>
          </w:p>
        </w:tc>
        <w:tc>
          <w:tcPr>
            <w:tcW w:type="dxa" w:w="145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Bidireccional</w:t>
            </w:r>
          </w:p>
        </w:tc>
        <w:tc>
          <w:tcPr>
            <w:tcW w:type="dxa" w:w="14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Director, Contenido</w:t>
            </w:r>
          </w:p>
        </w:tc>
        <w:tc>
          <w:tcPr>
            <w:tcW w:type="dxa" w:w="19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Coordinación, prioridades, briefs</w:t>
            </w:r>
          </w:p>
        </w:tc>
        <w:tc>
          <w:tcPr>
            <w:tcW w:type="dxa" w:w="167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Márgenes, pricing, plan de contratación</w:t>
            </w:r>
          </w:p>
        </w:tc>
        <w:tc>
          <w:tcPr>
            <w:tcW w:type="dxa" w:w="115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&lt; 4 h</w:t>
            </w:r>
          </w:p>
        </w:tc>
      </w:tr>
      <w:tr>
        <w:tc>
          <w:tcPr>
            <w:tcW w:type="dxa" w:w="145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Alerta de gasto</w:t>
            </w:r>
          </w:p>
        </w:tc>
        <w:tc>
          <w:tcPr>
            <w:tcW w:type="dxa" w:w="145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Salida</w:t>
            </w:r>
          </w:p>
        </w:tc>
        <w:tc>
          <w:tcPr>
            <w:tcW w:type="dxa" w:w="14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Director</w:t>
            </w:r>
          </w:p>
        </w:tc>
        <w:tc>
          <w:tcPr>
            <w:tcW w:type="dxa" w:w="19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Umbrales de presupuesto</w:t>
            </w:r>
          </w:p>
        </w:tc>
        <w:tc>
          <w:tcPr>
            <w:tcW w:type="dxa" w:w="167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Nada más. Canal de un solo propósito</w:t>
            </w:r>
          </w:p>
        </w:tc>
        <w:tc>
          <w:tcPr>
            <w:tcW w:type="dxa" w:w="115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&lt; 5 min</w:t>
            </w:r>
          </w:p>
        </w:tc>
      </w:tr>
      <w:tr>
        <w:tc>
          <w:tcPr>
            <w:tcW w:type="dxa" w:w="145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Sitio web público</w:t>
            </w:r>
          </w:p>
        </w:tc>
        <w:tc>
          <w:tcPr>
            <w:tcW w:type="dxa" w:w="145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Salida</w:t>
            </w:r>
          </w:p>
        </w:tc>
        <w:tc>
          <w:tcPr>
            <w:tcW w:type="dxa" w:w="14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Público</w:t>
            </w:r>
          </w:p>
        </w:tc>
        <w:tc>
          <w:tcPr>
            <w:tcW w:type="dxa" w:w="190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Contenido ya aprobado</w:t>
            </w:r>
          </w:p>
        </w:tc>
        <w:tc>
          <w:tcPr>
            <w:tcW w:type="dxa" w:w="167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Cualquier pieza sin revisión de voz de marca</w:t>
            </w:r>
          </w:p>
        </w:tc>
        <w:tc>
          <w:tcPr>
            <w:tcW w:type="dxa" w:w="115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N/A</w:t>
            </w:r>
          </w:p>
        </w:tc>
      </w:tr>
    </w:tbl>
    <w:p>
      <w:pPr>
        <w:pStyle w:val="Heading2"/>
        <w:spacing w:after="140" w:before="320"/>
      </w:pPr>
      <w:r>
        <w:rPr>
          <w:rFonts w:ascii="Inter" w:cs="Inter" w:eastAsia="Inter" w:hAnsi="Inter"/>
          <w:b/>
          <w:bCs/>
          <w:color w:val="111111"/>
          <w:sz w:val="24"/>
          <w:szCs w:val="24"/>
        </w:rPr>
        <w:t xml:space="preserve">Bloque D · Capacidad y auditoría</w:t>
      </w:r>
    </w:p>
    <w:p>
      <w:pPr>
        <w:pStyle w:val="Heading3"/>
        <w:spacing w:after="100" w:before="240"/>
      </w:pPr>
      <w:r>
        <w:rPr>
          <w:rFonts w:ascii="Inter" w:cs="Inter" w:eastAsia="Inter" w:hAnsi="Inter"/>
          <w:b/>
          <w:bCs/>
          <w:color w:val="FF6A00"/>
          <w:sz w:val="21"/>
          <w:szCs w:val="21"/>
        </w:rPr>
        <w:t xml:space="preserve">D1 · Competencias</w:t>
      </w:r>
    </w:p>
    <w:tbl>
      <w:tblPr>
        <w:tblW w:type="dxa" w:w="9026"/>
        <w:tblBorders>
          <w:top w:val="single" w:color="DDDDD8" w:sz="4"/>
          <w:left w:val="single" w:color="DDDDD8" w:sz="4"/>
          <w:bottom w:val="single" w:color="DDDDD8" w:sz="4"/>
          <w:right w:val="single" w:color="DDDDD8" w:sz="4"/>
          <w:insideH w:val="single" w:color="DDDDD8" w:sz="4"/>
          <w:insideV w:val="single" w:color="DDDDD8" w:sz="4"/>
        </w:tblBorders>
      </w:tblPr>
      <w:tblGrid>
        <w:gridCol w:w="2950"/>
        <w:gridCol w:w="1450"/>
        <w:gridCol w:w="1100"/>
        <w:gridCol w:w="3526"/>
      </w:tblGrid>
      <w:tr>
        <w:trPr>
          <w:tblHeader/>
        </w:trPr>
        <w:tc>
          <w:tcPr>
            <w:tcW w:type="dxa" w:w="295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Competencia</w:t>
            </w:r>
          </w:p>
        </w:tc>
        <w:tc>
          <w:tcPr>
            <w:tcW w:type="dxa" w:w="145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Categoría</w:t>
            </w:r>
          </w:p>
        </w:tc>
        <w:tc>
          <w:tcPr>
            <w:tcW w:type="dxa" w:w="110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Nivel</w:t>
            </w:r>
          </w:p>
        </w:tc>
        <w:tc>
          <w:tcPr>
            <w:tcW w:type="dxa" w:w="3526"/>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Evidencia</w:t>
            </w:r>
          </w:p>
        </w:tc>
      </w:tr>
      <w:tr>
        <w:tc>
          <w:tcPr>
            <w:tcW w:type="dxa" w:w="295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Análisis de intención de búsqueda</w:t>
            </w:r>
          </w:p>
        </w:tc>
        <w:tc>
          <w:tcPr>
            <w:tcW w:type="dxa" w:w="145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Dominio</w:t>
            </w:r>
          </w:p>
        </w:tc>
        <w:tc>
          <w:tcPr>
            <w:tcW w:type="dxa" w:w="1100"/>
            <w:shd w:fill="FFFFFF" w:val="clear"/>
            <w:tcMar>
              <w:top w:type="dxa" w:w="90"/>
              <w:left w:type="dxa" w:w="130"/>
              <w:bottom w:type="dxa" w:w="90"/>
              <w:right w:type="dxa" w:w="130"/>
            </w:tcMar>
          </w:tcPr>
          <w:p>
            <w:pPr>
              <w:spacing w:after="0" w:line="260"/>
            </w:pPr>
            <w:r>
              <w:rPr>
                <w:rFonts w:ascii="Inter" w:cs="Inter" w:eastAsia="Inter" w:hAnsi="Inter"/>
                <w:b/>
                <w:bCs/>
                <w:color w:val="FF6A00"/>
                <w:sz w:val="18"/>
                <w:szCs w:val="18"/>
              </w:rPr>
              <w:t xml:space="preserve">N3</w:t>
            </w:r>
          </w:p>
        </w:tc>
        <w:tc>
          <w:tcPr>
            <w:tcW w:type="dxa" w:w="35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Tres reestructuraciones de cluster con impacto medido</w:t>
            </w:r>
          </w:p>
        </w:tc>
      </w:tr>
      <w:tr>
        <w:tc>
          <w:tcPr>
            <w:tcW w:type="dxa" w:w="295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Gestión de puja y presupuesto</w:t>
            </w:r>
          </w:p>
        </w:tc>
        <w:tc>
          <w:tcPr>
            <w:tcW w:type="dxa" w:w="145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Dominio</w:t>
            </w:r>
          </w:p>
        </w:tc>
        <w:tc>
          <w:tcPr>
            <w:tcW w:type="dxa" w:w="1100"/>
            <w:shd w:fill="FFFFFF" w:val="clear"/>
            <w:tcMar>
              <w:top w:type="dxa" w:w="90"/>
              <w:left w:type="dxa" w:w="130"/>
              <w:bottom w:type="dxa" w:w="90"/>
              <w:right w:type="dxa" w:w="130"/>
            </w:tcMar>
          </w:tcPr>
          <w:p>
            <w:pPr>
              <w:spacing w:after="0" w:line="260"/>
            </w:pPr>
            <w:r>
              <w:rPr>
                <w:rFonts w:ascii="Inter" w:cs="Inter" w:eastAsia="Inter" w:hAnsi="Inter"/>
                <w:b/>
                <w:bCs/>
                <w:color w:val="FF6A00"/>
                <w:sz w:val="18"/>
                <w:szCs w:val="18"/>
              </w:rPr>
              <w:t xml:space="preserve">N3</w:t>
            </w:r>
          </w:p>
        </w:tc>
        <w:tc>
          <w:tcPr>
            <w:tcW w:type="dxa" w:w="35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Tres reasignaciones documentadas con efecto en CAC</w:t>
            </w:r>
          </w:p>
        </w:tc>
      </w:tr>
      <w:tr>
        <w:tc>
          <w:tcPr>
            <w:tcW w:type="dxa" w:w="295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Lectura de atribución</w:t>
            </w:r>
          </w:p>
        </w:tc>
        <w:tc>
          <w:tcPr>
            <w:tcW w:type="dxa" w:w="145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Dominio</w:t>
            </w:r>
          </w:p>
        </w:tc>
        <w:tc>
          <w:tcPr>
            <w:tcW w:type="dxa" w:w="1100"/>
            <w:shd w:fill="FFFFFF" w:val="clear"/>
            <w:tcMar>
              <w:top w:type="dxa" w:w="90"/>
              <w:left w:type="dxa" w:w="130"/>
              <w:bottom w:type="dxa" w:w="90"/>
              <w:right w:type="dxa" w:w="130"/>
            </w:tcMar>
          </w:tcPr>
          <w:p>
            <w:pPr>
              <w:spacing w:after="0" w:line="260"/>
            </w:pPr>
            <w:r>
              <w:rPr>
                <w:rFonts w:ascii="Inter" w:cs="Inter" w:eastAsia="Inter" w:hAnsi="Inter"/>
                <w:b/>
                <w:bCs/>
                <w:color w:val="FF6A00"/>
                <w:sz w:val="18"/>
                <w:szCs w:val="18"/>
              </w:rPr>
              <w:t xml:space="preserve">N2</w:t>
            </w:r>
          </w:p>
        </w:tc>
        <w:tc>
          <w:tcPr>
            <w:tcW w:type="dxa" w:w="35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Un ciclo de reporting sin corrección</w:t>
            </w:r>
          </w:p>
        </w:tc>
      </w:tr>
      <w:tr>
        <w:tc>
          <w:tcPr>
            <w:tcW w:type="dxa" w:w="295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Redacción en voz de marca</w:t>
            </w:r>
          </w:p>
        </w:tc>
        <w:tc>
          <w:tcPr>
            <w:tcW w:type="dxa" w:w="145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Dominio</w:t>
            </w:r>
          </w:p>
        </w:tc>
        <w:tc>
          <w:tcPr>
            <w:tcW w:type="dxa" w:w="1100"/>
            <w:shd w:fill="FFFFFF" w:val="clear"/>
            <w:tcMar>
              <w:top w:type="dxa" w:w="90"/>
              <w:left w:type="dxa" w:w="130"/>
              <w:bottom w:type="dxa" w:w="90"/>
              <w:right w:type="dxa" w:w="130"/>
            </w:tcMar>
          </w:tcPr>
          <w:p>
            <w:pPr>
              <w:spacing w:after="0" w:line="260"/>
            </w:pPr>
            <w:r>
              <w:rPr>
                <w:rFonts w:ascii="Inter" w:cs="Inter" w:eastAsia="Inter" w:hAnsi="Inter"/>
                <w:b/>
                <w:bCs/>
                <w:color w:val="FF6A00"/>
                <w:sz w:val="18"/>
                <w:szCs w:val="18"/>
              </w:rPr>
              <w:t xml:space="preserve">N2</w:t>
            </w:r>
          </w:p>
        </w:tc>
        <w:tc>
          <w:tcPr>
            <w:tcW w:type="dxa" w:w="35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Un ciclo sin corrección de estilo</w:t>
            </w:r>
          </w:p>
        </w:tc>
      </w:tr>
      <w:tr>
        <w:tc>
          <w:tcPr>
            <w:tcW w:type="dxa" w:w="295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Plataformas de anuncios</w:t>
            </w:r>
          </w:p>
        </w:tc>
        <w:tc>
          <w:tcPr>
            <w:tcW w:type="dxa" w:w="145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Sistema</w:t>
            </w:r>
          </w:p>
        </w:tc>
        <w:tc>
          <w:tcPr>
            <w:tcW w:type="dxa" w:w="1100"/>
            <w:shd w:fill="FFFFFF" w:val="clear"/>
            <w:tcMar>
              <w:top w:type="dxa" w:w="90"/>
              <w:left w:type="dxa" w:w="130"/>
              <w:bottom w:type="dxa" w:w="90"/>
              <w:right w:type="dxa" w:w="130"/>
            </w:tcMar>
          </w:tcPr>
          <w:p>
            <w:pPr>
              <w:spacing w:after="0" w:line="260"/>
            </w:pPr>
            <w:r>
              <w:rPr>
                <w:rFonts w:ascii="Inter" w:cs="Inter" w:eastAsia="Inter" w:hAnsi="Inter"/>
                <w:b/>
                <w:bCs/>
                <w:color w:val="FF6A00"/>
                <w:sz w:val="18"/>
                <w:szCs w:val="18"/>
              </w:rPr>
              <w:t xml:space="preserve">N3</w:t>
            </w:r>
          </w:p>
        </w:tc>
        <w:tc>
          <w:tcPr>
            <w:tcW w:type="dxa" w:w="35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Operación autónoma sostenida</w:t>
            </w:r>
          </w:p>
        </w:tc>
      </w:tr>
      <w:tr>
        <w:tc>
          <w:tcPr>
            <w:tcW w:type="dxa" w:w="295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Power BI</w:t>
            </w:r>
          </w:p>
        </w:tc>
        <w:tc>
          <w:tcPr>
            <w:tcW w:type="dxa" w:w="145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Sistema</w:t>
            </w:r>
          </w:p>
        </w:tc>
        <w:tc>
          <w:tcPr>
            <w:tcW w:type="dxa" w:w="1100"/>
            <w:shd w:fill="FFFFFF" w:val="clear"/>
            <w:tcMar>
              <w:top w:type="dxa" w:w="90"/>
              <w:left w:type="dxa" w:w="130"/>
              <w:bottom w:type="dxa" w:w="90"/>
              <w:right w:type="dxa" w:w="130"/>
            </w:tcMar>
          </w:tcPr>
          <w:p>
            <w:pPr>
              <w:spacing w:after="0" w:line="260"/>
            </w:pPr>
            <w:r>
              <w:rPr>
                <w:rFonts w:ascii="Inter" w:cs="Inter" w:eastAsia="Inter" w:hAnsi="Inter"/>
                <w:b/>
                <w:bCs/>
                <w:color w:val="FF6A00"/>
                <w:sz w:val="18"/>
                <w:szCs w:val="18"/>
              </w:rPr>
              <w:t xml:space="preserve">N2</w:t>
            </w:r>
          </w:p>
        </w:tc>
        <w:tc>
          <w:tcPr>
            <w:tcW w:type="dxa" w:w="35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Panel propio en producción</w:t>
            </w:r>
          </w:p>
        </w:tc>
      </w:tr>
      <w:tr>
        <w:tc>
          <w:tcPr>
            <w:tcW w:type="dxa" w:w="295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n8n</w:t>
            </w:r>
          </w:p>
        </w:tc>
        <w:tc>
          <w:tcPr>
            <w:tcW w:type="dxa" w:w="1450"/>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Sistema</w:t>
            </w:r>
          </w:p>
        </w:tc>
        <w:tc>
          <w:tcPr>
            <w:tcW w:type="dxa" w:w="1100"/>
            <w:shd w:fill="FFFFFF" w:val="clear"/>
            <w:tcMar>
              <w:top w:type="dxa" w:w="90"/>
              <w:left w:type="dxa" w:w="130"/>
              <w:bottom w:type="dxa" w:w="90"/>
              <w:right w:type="dxa" w:w="130"/>
            </w:tcMar>
          </w:tcPr>
          <w:p>
            <w:pPr>
              <w:spacing w:after="0" w:line="260"/>
            </w:pPr>
            <w:r>
              <w:rPr>
                <w:rFonts w:ascii="Inter" w:cs="Inter" w:eastAsia="Inter" w:hAnsi="Inter"/>
                <w:b/>
                <w:bCs/>
                <w:color w:val="FF6A00"/>
                <w:sz w:val="18"/>
                <w:szCs w:val="18"/>
              </w:rPr>
              <w:t xml:space="preserve">N1</w:t>
            </w:r>
          </w:p>
        </w:tc>
        <w:tc>
          <w:tcPr>
            <w:tcW w:type="dxa" w:w="35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w:t>
            </w:r>
          </w:p>
        </w:tc>
      </w:tr>
    </w:tbl>
    <w:tbl>
      <w:tblPr>
        <w:tblW w:type="dxa" w:w="9026"/>
        <w:tblBorders>
          <w:top w:val="single" w:color="DDDDD8" w:sz="4"/>
          <w:left w:val="single" w:color="DDDDD8" w:sz="4"/>
          <w:bottom w:val="single" w:color="DDDDD8" w:sz="4"/>
          <w:right w:val="single" w:color="DDDDD8" w:sz="4"/>
          <w:insideH w:val="single" w:color="DDDDD8" w:sz="4"/>
          <w:insideV w:val="single" w:color="DDDDD8" w:sz="4"/>
        </w:tblBorders>
      </w:tblPr>
      <w:tblGrid>
        <w:gridCol w:w="2400"/>
        <w:gridCol w:w="6626"/>
      </w:tblGrid>
      <w:tr>
        <w:tc>
          <w:tcPr>
            <w:tcW w:type="dxa" w:w="24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D2 · Nivel de modelo</w:t>
            </w:r>
          </w:p>
        </w:tc>
        <w:tc>
          <w:tcPr>
            <w:tcW w:type="dxa" w:w="66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Riesgo alto. Toca presupuesto real y produce contenido de cara al público. Corre en el modelo de mayor capacidad, con límite de gasto duro y alerta automática al acercarse al techo.</w:t>
            </w:r>
          </w:p>
        </w:tc>
      </w:tr>
      <w:tr>
        <w:tc>
          <w:tcPr>
            <w:tcW w:type="dxa" w:w="24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D3 · Paquete</w:t>
            </w:r>
          </w:p>
        </w:tc>
        <w:tc>
          <w:tcPr>
            <w:tcW w:type="dxa" w:w="6626"/>
            <w:shd w:fill="FFFFFF" w:val="clear"/>
            <w:tcMar>
              <w:top w:type="dxa" w:w="90"/>
              <w:left w:type="dxa" w:w="130"/>
              <w:bottom w:type="dxa" w:w="90"/>
              <w:right w:type="dxa" w:w="130"/>
            </w:tcMar>
          </w:tcPr>
          <w:p>
            <w:pPr>
              <w:spacing w:after="60" w:line="260"/>
            </w:pPr>
            <w:r>
              <w:rPr>
                <w:rFonts w:ascii="Inter" w:cs="Inter" w:eastAsia="Inter" w:hAnsi="Inter"/>
                <w:color w:val="111111"/>
                <w:sz w:val="18"/>
                <w:szCs w:val="18"/>
              </w:rPr>
              <w:t xml:space="preserve">Bloques 1, 2 y 7 del tronco, completos.</w:t>
            </w:r>
          </w:p>
          <w:p>
            <w:pPr>
              <w:spacing w:after="60" w:line="260"/>
            </w:pPr>
            <w:r>
              <w:rPr>
                <w:rFonts w:ascii="Inter" w:cs="Inter" w:eastAsia="Inter" w:hAnsi="Inter"/>
                <w:color w:val="111111"/>
                <w:sz w:val="18"/>
                <w:szCs w:val="18"/>
              </w:rPr>
              <w:t xml:space="preserve">Bloque 3: metodología SEO/SEM B2B, benchmarks del ICP (menos de 50 empleados, menos de 40 M€).</w:t>
            </w:r>
          </w:p>
          <w:p>
            <w:pPr>
              <w:spacing w:after="60" w:line="260"/>
            </w:pPr>
            <w:r>
              <w:rPr>
                <w:rFonts w:ascii="Inter" w:cs="Inter" w:eastAsia="Inter" w:hAnsi="Inter"/>
                <w:color w:val="111111"/>
                <w:sz w:val="18"/>
                <w:szCs w:val="18"/>
              </w:rPr>
              <w:t xml:space="preserve">Bloque 4: playbook de lanzamiento de campaña, playbook de auditoría de contenido.</w:t>
            </w:r>
          </w:p>
          <w:p>
            <w:pPr>
              <w:spacing w:after="60" w:line="260"/>
            </w:pPr>
            <w:r>
              <w:rPr>
                <w:rFonts w:ascii="Inter" w:cs="Inter" w:eastAsia="Inter" w:hAnsi="Inter"/>
                <w:color w:val="111111"/>
                <w:sz w:val="18"/>
                <w:szCs w:val="18"/>
              </w:rPr>
              <w:t xml:space="preserve">Bloque 5: definición vigente de lead cualificado, CAC y ROAS.</w:t>
            </w:r>
          </w:p>
          <w:p>
            <w:pPr>
              <w:spacing w:after="0" w:line="260"/>
            </w:pPr>
            <w:r>
              <w:rPr>
                <w:rFonts w:ascii="Inter" w:cs="Inter" w:eastAsia="Inter" w:hAnsi="Inter"/>
                <w:color w:val="111111"/>
                <w:sz w:val="18"/>
                <w:szCs w:val="18"/>
              </w:rPr>
              <w:t xml:space="preserve">Bloque 6: histórico de creatividades y clusters probados, con resultado.</w:t>
            </w:r>
          </w:p>
        </w:tc>
      </w:tr>
      <w:tr>
        <w:tc>
          <w:tcPr>
            <w:tcW w:type="dxa" w:w="24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D4 · Métrica de éxito</w:t>
            </w:r>
          </w:p>
        </w:tc>
        <w:tc>
          <w:tcPr>
            <w:tcW w:type="dxa" w:w="66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CAC por canal frente a objetivo. ROAS. Volumen de leads cualificados dentro del presupuesto asignado. Posición media de las keywords objetivo. Tasa de conversión del tráfico orgánico.</w:t>
            </w:r>
          </w:p>
        </w:tc>
      </w:tr>
      <w:tr>
        <w:tc>
          <w:tcPr>
            <w:tcW w:type="dxa" w:w="24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D5 · Trazabilidad</w:t>
            </w:r>
          </w:p>
        </w:tc>
        <w:tc>
          <w:tcPr>
            <w:tcW w:type="dxa" w:w="66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Todo cambio de puja o presupuesto queda registrado con marca de tiempo, valor anterior y motivo. Retención: 24 meses. Todo borrador publicado queda vinculado a quién lo aprobó.</w:t>
            </w:r>
          </w:p>
        </w:tc>
      </w:tr>
      <w:tr>
        <w:tc>
          <w:tcPr>
            <w:tcW w:type="dxa" w:w="24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D6 · Disparador de revisión</w:t>
            </w:r>
          </w:p>
        </w:tc>
        <w:tc>
          <w:tcPr>
            <w:tcW w:type="dxa" w:w="66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Cambio del techo de presupuesto. Alta de un canal publicitario nuevo. Cualquier incidente de publicación sin aprobación. Tasa de escalado con el Director por encima de dos veces por semana durante un mes.</w:t>
            </w:r>
          </w:p>
        </w:tc>
      </w:tr>
      <w:tr>
        <w:tc>
          <w:tcPr>
            <w:tcW w:type="dxa" w:w="24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D7 · Versiones</w:t>
            </w:r>
          </w:p>
        </w:tc>
        <w:tc>
          <w:tcPr>
            <w:tcW w:type="dxa" w:w="66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v1.0 · 13 ago 2026 · Ficha completa · Motivo: primer rol interno documentado con el estándar del Anexo A.</w:t>
            </w:r>
          </w:p>
        </w:tc>
      </w:tr>
    </w:tbl>
    <w:p>
      <w:r>
        <w:br w:type="page"/>
      </w:r>
    </w:p>
    <w:p>
      <w:pPr>
        <w:pStyle w:val="Heading1"/>
        <w:pBdr>
          <w:bottom w:val="single" w:color="FF6A00" w:sz="12" w:space="6"/>
        </w:pBdr>
        <w:spacing w:after="200" w:before="400"/>
      </w:pPr>
      <w:r>
        <w:rPr>
          <w:rFonts w:ascii="Inter" w:cs="Inter" w:eastAsia="Inter" w:hAnsi="Inter"/>
          <w:b/>
          <w:bCs/>
          <w:color w:val="111111"/>
          <w:sz w:val="30"/>
          <w:szCs w:val="30"/>
        </w:rPr>
        <w:t xml:space="preserve">Anexo A · Esquema de datos</w:t>
      </w:r>
    </w:p>
    <w:p>
      <w:pPr>
        <w:spacing w:after="120" w:line="300"/>
      </w:pPr>
      <w:r>
        <w:rPr>
          <w:rFonts w:ascii="Inter" w:cs="Inter" w:eastAsia="Inter" w:hAnsi="Inter"/>
          <w:color w:val="111111"/>
          <w:sz w:val="20"/>
          <w:szCs w:val="20"/>
        </w:rPr>
        <w:t xml:space="preserve">Dado que la fuente de verdad es PostgreSQL y Qdrant, la ficha no es un documento: es un registro. Estos son los campos que deben ser enumeraciones cerradas y no texto libre, porque son los que se consultan.</w:t>
      </w:r>
    </w:p>
    <w:p>
      <w:pPr>
        <w:pStyle w:val="Heading2"/>
        <w:spacing w:after="140" w:before="320"/>
      </w:pPr>
      <w:r>
        <w:rPr>
          <w:rFonts w:ascii="Inter" w:cs="Inter" w:eastAsia="Inter" w:hAnsi="Inter"/>
          <w:b/>
          <w:bCs/>
          <w:color w:val="111111"/>
          <w:sz w:val="24"/>
          <w:szCs w:val="24"/>
        </w:rPr>
        <w:t xml:space="preserve">Tablas en PostgreSQL</w:t>
      </w:r>
    </w:p>
    <w:tbl>
      <w:tblPr>
        <w:tblW w:type="dxa" w:w="9026"/>
        <w:tblBorders>
          <w:top w:val="single" w:color="DDDDD8" w:sz="4"/>
          <w:left w:val="single" w:color="DDDDD8" w:sz="4"/>
          <w:bottom w:val="single" w:color="DDDDD8" w:sz="4"/>
          <w:right w:val="single" w:color="DDDDD8" w:sz="4"/>
          <w:insideH w:val="single" w:color="DDDDD8" w:sz="4"/>
          <w:insideV w:val="single" w:color="DDDDD8" w:sz="4"/>
        </w:tblBorders>
      </w:tblPr>
      <w:tblGrid>
        <w:gridCol w:w="2400"/>
        <w:gridCol w:w="6626"/>
      </w:tblGrid>
      <w:tr>
        <w:trPr>
          <w:tblHeader/>
        </w:trPr>
        <w:tc>
          <w:tcPr>
            <w:tcW w:type="dxa" w:w="240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Tabla</w:t>
            </w:r>
          </w:p>
        </w:tc>
        <w:tc>
          <w:tcPr>
            <w:tcW w:type="dxa" w:w="6626"/>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Contenido y campos tipados</w:t>
            </w:r>
          </w:p>
        </w:tc>
      </w:tr>
      <w:tr>
        <w:tc>
          <w:tcPr>
            <w:tcW w:type="dxa" w:w="24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rol</w:t>
            </w:r>
          </w:p>
        </w:tc>
        <w:tc>
          <w:tcPr>
            <w:tcW w:type="dxa" w:w="66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id (PK, texto estable) · nombre · naturaleza [persona / especialista / hibrido] · mision · reporta_a (FK rol) · propietario_ficha · divulgacion_max [D1 / D2 / D3 / D4] · nivel_modelo [bajo / medio / alto] · techo_gasto_eur (numérico) · estado [borrador / activo / archivado]</w:t>
            </w:r>
          </w:p>
        </w:tc>
      </w:tr>
      <w:tr>
        <w:tc>
          <w:tcPr>
            <w:tcW w:type="dxa" w:w="24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rol_version</w:t>
            </w:r>
          </w:p>
        </w:tc>
        <w:tc>
          <w:tcPr>
            <w:tcW w:type="dxa" w:w="66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Append-only. rol_id · version · fecha · alcance · motivo (obligatorio, no nulo). Nunca se sobrescribe una fila: la historia no desaparece.</w:t>
            </w:r>
          </w:p>
        </w:tc>
      </w:tr>
      <w:tr>
        <w:tc>
          <w:tcPr>
            <w:tcW w:type="dxa" w:w="24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rol_sinapsis</w:t>
            </w:r>
          </w:p>
        </w:tc>
        <w:tc>
          <w:tcPr>
            <w:tcW w:type="dxa" w:w="66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rol_origen · rol_destino · tipo [reporta / sinapsis] · tasa_escalado (calculada). La tasa de escalado por par es el diagnóstico de ramas mal diseñadas.</w:t>
            </w:r>
          </w:p>
        </w:tc>
      </w:tr>
      <w:tr>
        <w:tc>
          <w:tcPr>
            <w:tcW w:type="dxa" w:w="24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rol_permiso</w:t>
            </w:r>
          </w:p>
        </w:tc>
        <w:tc>
          <w:tcPr>
            <w:tcW w:type="dxa" w:w="66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rol_id · sistema_id · nivel [W0 / W1 / W2 / W3 / W4] · alcance · aprobado_por · fecha</w:t>
            </w:r>
          </w:p>
        </w:tc>
      </w:tr>
      <w:tr>
        <w:tc>
          <w:tcPr>
            <w:tcW w:type="dxa" w:w="24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rol_interlocucion</w:t>
            </w:r>
          </w:p>
        </w:tc>
        <w:tc>
          <w:tcPr>
            <w:tcW w:type="dxa" w:w="66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rol_id · audiencia [A0..A4] · clase [D1..D4] · politica [permite / deniega / apertura] · caduca_el (obligatorio si politica = apertura)</w:t>
            </w:r>
          </w:p>
        </w:tc>
      </w:tr>
      <w:tr>
        <w:tc>
          <w:tcPr>
            <w:tcW w:type="dxa" w:w="24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rol_canal</w:t>
            </w:r>
          </w:p>
        </w:tc>
        <w:tc>
          <w:tcPr>
            <w:tcW w:type="dxa" w:w="66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rol_id · canal · direccion [entrada / salida / bidireccional] · interlocutor · admite · prohibe (no nulo) · latencia_max</w:t>
            </w:r>
          </w:p>
        </w:tc>
      </w:tr>
      <w:tr>
        <w:tc>
          <w:tcPr>
            <w:tcW w:type="dxa" w:w="24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rol_competencia</w:t>
            </w:r>
          </w:p>
        </w:tc>
        <w:tc>
          <w:tcPr>
            <w:tcW w:type="dxa" w:w="66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rol_id · competencia_id · categoria [dominio / sistema] · nivel [N1..N4] · evidencia_uri</w:t>
            </w:r>
          </w:p>
        </w:tc>
      </w:tr>
      <w:tr>
        <w:tc>
          <w:tcPr>
            <w:tcW w:type="dxa" w:w="24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rol_wiki_bloque</w:t>
            </w:r>
          </w:p>
        </w:tc>
        <w:tc>
          <w:tcPr>
            <w:tcW w:type="dxa" w:w="66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rol_id · bloque (1..7) · uri · capa [tronco / rama] · propietario · ultima_revision · ttl_dias · caducado (calculado)</w:t>
            </w:r>
          </w:p>
        </w:tc>
      </w:tr>
      <w:tr>
        <w:tc>
          <w:tcPr>
            <w:tcW w:type="dxa" w:w="24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solicitud_denegada</w:t>
            </w:r>
          </w:p>
        </w:tc>
        <w:tc>
          <w:tcPr>
            <w:tcW w:type="dxa" w:w="66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rol_id · audiencia · clase_solicitada · fecha. Alimenta las tres métricas de auditoría de la Parte II.</w:t>
            </w:r>
          </w:p>
        </w:tc>
      </w:tr>
    </w:tbl>
    <w:p>
      <w:pPr>
        <w:pStyle w:val="Heading2"/>
        <w:spacing w:after="140" w:before="320"/>
      </w:pPr>
      <w:r>
        <w:rPr>
          <w:rFonts w:ascii="Inter" w:cs="Inter" w:eastAsia="Inter" w:hAnsi="Inter"/>
          <w:b/>
          <w:bCs/>
          <w:color w:val="111111"/>
          <w:sz w:val="24"/>
          <w:szCs w:val="24"/>
        </w:rPr>
        <w:t xml:space="preserve">Colecciones en Qdrant</w:t>
      </w:r>
    </w:p>
    <w:tbl>
      <w:tblPr>
        <w:tblW w:type="dxa" w:w="9026"/>
        <w:tblBorders>
          <w:top w:val="single" w:color="DDDDD8" w:sz="4"/>
          <w:left w:val="single" w:color="DDDDD8" w:sz="4"/>
          <w:bottom w:val="single" w:color="DDDDD8" w:sz="4"/>
          <w:right w:val="single" w:color="DDDDD8" w:sz="4"/>
          <w:insideH w:val="single" w:color="DDDDD8" w:sz="4"/>
          <w:insideV w:val="single" w:color="DDDDD8" w:sz="4"/>
        </w:tblBorders>
      </w:tblPr>
      <w:tblGrid>
        <w:gridCol w:w="2400"/>
        <w:gridCol w:w="6626"/>
      </w:tblGrid>
      <w:tr>
        <w:trPr>
          <w:tblHeader/>
        </w:trPr>
        <w:tc>
          <w:tcPr>
            <w:tcW w:type="dxa" w:w="2400"/>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Colección</w:t>
            </w:r>
          </w:p>
        </w:tc>
        <w:tc>
          <w:tcPr>
            <w:tcW w:type="dxa" w:w="6626"/>
            <w:shd w:fill="111111" w:val="clear"/>
            <w:tcMar>
              <w:top w:type="dxa" w:w="90"/>
              <w:left w:type="dxa" w:w="130"/>
              <w:bottom w:type="dxa" w:w="90"/>
              <w:right w:type="dxa" w:w="130"/>
            </w:tcMar>
          </w:tcPr>
          <w:p>
            <w:pPr>
              <w:spacing w:after="0" w:line="260"/>
            </w:pPr>
            <w:r>
              <w:rPr>
                <w:rFonts w:ascii="Inter" w:cs="Inter" w:eastAsia="Inter" w:hAnsi="Inter"/>
                <w:b/>
                <w:bCs/>
                <w:color w:val="FFFFFF"/>
                <w:sz w:val="18"/>
                <w:szCs w:val="18"/>
              </w:rPr>
              <w:t xml:space="preserve">Payload obligatorio</w:t>
            </w:r>
          </w:p>
        </w:tc>
      </w:tr>
      <w:tr>
        <w:tc>
          <w:tcPr>
            <w:tcW w:type="dxa" w:w="24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memoria_tronco</w:t>
            </w:r>
          </w:p>
        </w:tc>
        <w:tc>
          <w:tcPr>
            <w:tcW w:type="dxa" w:w="66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Bloques 1, 2 y 7. Payload: bloque, clase_divulgacion, version, fecha, uri_origen_git</w:t>
            </w:r>
          </w:p>
        </w:tc>
      </w:tr>
      <w:tr>
        <w:tc>
          <w:tcPr>
            <w:tcW w:type="dxa" w:w="2400"/>
            <w:shd w:fill="FFFFFF" w:val="clear"/>
            <w:tcMar>
              <w:top w:type="dxa" w:w="90"/>
              <w:left w:type="dxa" w:w="130"/>
              <w:bottom w:type="dxa" w:w="90"/>
              <w:right w:type="dxa" w:w="130"/>
            </w:tcMar>
          </w:tcPr>
          <w:p>
            <w:pPr>
              <w:spacing w:after="0" w:line="260"/>
            </w:pPr>
            <w:r>
              <w:rPr>
                <w:rFonts w:ascii="Inter" w:cs="Inter" w:eastAsia="Inter" w:hAnsi="Inter"/>
                <w:b/>
                <w:bCs/>
                <w:color w:val="111111"/>
                <w:sz w:val="18"/>
                <w:szCs w:val="18"/>
              </w:rPr>
              <w:t xml:space="preserve">memoria_rol</w:t>
            </w:r>
          </w:p>
        </w:tc>
        <w:tc>
          <w:tcPr>
            <w:tcW w:type="dxa" w:w="6626"/>
            <w:shd w:fill="FFFFFF" w:val="clear"/>
            <w:tcMar>
              <w:top w:type="dxa" w:w="90"/>
              <w:left w:type="dxa" w:w="130"/>
              <w:bottom w:type="dxa" w:w="90"/>
              <w:right w:type="dxa" w:w="130"/>
            </w:tcMar>
          </w:tcPr>
          <w:p>
            <w:pPr>
              <w:spacing w:after="0" w:line="260"/>
            </w:pPr>
            <w:r>
              <w:rPr>
                <w:rFonts w:ascii="Inter" w:cs="Inter" w:eastAsia="Inter" w:hAnsi="Inter"/>
                <w:color w:val="111111"/>
                <w:sz w:val="18"/>
                <w:szCs w:val="18"/>
              </w:rPr>
              <w:t xml:space="preserve">Bloques 3, 4 y 6. Payload: rol_id, bloque, clase_divulgacion, fecha, resultado (para el bloque 6)</w:t>
            </w:r>
          </w:p>
        </w:tc>
      </w:tr>
    </w:tbl>
    <w:tbl>
      <w:tblPr>
        <w:tblW w:type="dxa" w:w="9026"/>
        <w:tblBorders>
          <w:top w:val="none"/>
          <w:left w:val="single" w:color="FF6A00" w:sz="18"/>
          <w:bottom w:val="none"/>
          <w:right w:val="none"/>
          <w:insideH w:val="none"/>
          <w:insideV w:val="none"/>
        </w:tblBorders>
      </w:tblPr>
      <w:tblGrid>
        <w:gridCol w:w="9026"/>
      </w:tblGrid>
      <w:tr>
        <w:tc>
          <w:tcPr>
            <w:tcW w:type="dxa" w:w="9026"/>
            <w:shd w:fill="F8F8F6" w:val="clear"/>
            <w:tcMar>
              <w:top w:type="dxa" w:w="140"/>
              <w:left w:type="dxa" w:w="200"/>
              <w:bottom w:type="dxa" w:w="140"/>
              <w:right w:type="dxa" w:w="200"/>
            </w:tcMar>
          </w:tcPr>
          <w:p>
            <w:pPr>
              <w:spacing w:after="0" w:line="300"/>
            </w:pPr>
            <w:r>
              <w:rPr>
                <w:rFonts w:ascii="Inter" w:cs="Inter" w:eastAsia="Inter" w:hAnsi="Inter"/>
                <w:b/>
                <w:bCs/>
                <w:color w:val="FF6A00"/>
                <w:sz w:val="20"/>
                <w:szCs w:val="20"/>
              </w:rPr>
              <w:t xml:space="preserve">El campo que hace cumplir la Parte II. </w:t>
            </w:r>
            <w:r>
              <w:rPr>
                <w:rFonts w:ascii="Inter" w:cs="Inter" w:eastAsia="Inter" w:hAnsi="Inter"/>
                <w:color w:val="111111"/>
                <w:sz w:val="20"/>
                <w:szCs w:val="20"/>
              </w:rPr>
              <w:t xml:space="preserve">clase_divulgacion en el payload de todo vector. Toda consulta a Qdrant se filtra por el nivel de la conversación en curso antes de recuperar. Sin este filtro, la matriz de interlocución no se aplica: se confía en que el modelo se acuerde de no decir algo que ya tiene delante.</w:t>
            </w:r>
          </w:p>
        </w:tc>
      </w:tr>
    </w:tbl>
    <w:p>
      <w:pPr>
        <w:pStyle w:val="Heading2"/>
        <w:spacing w:after="140" w:before="320"/>
      </w:pPr>
      <w:r>
        <w:rPr>
          <w:rFonts w:ascii="Inter" w:cs="Inter" w:eastAsia="Inter" w:hAnsi="Inter"/>
          <w:b/>
          <w:bCs/>
          <w:color w:val="111111"/>
          <w:sz w:val="24"/>
          <w:szCs w:val="24"/>
        </w:rPr>
        <w:t xml:space="preserve">Tres consultas que este esquema debe poder responder en una sentencia</w:t>
      </w:r>
    </w:p>
    <w:p>
      <w:pPr>
        <w:pStyle w:val="ListParagraph"/>
        <w:numPr>
          <w:ilvl w:val="0"/>
          <w:numId w:val="6"/>
        </w:numPr>
        <w:spacing w:after="80" w:line="300"/>
      </w:pPr>
      <w:r>
        <w:rPr>
          <w:rFonts w:ascii="Inter" w:cs="Inter" w:eastAsia="Inter" w:hAnsi="Inter"/>
          <w:color w:val="111111"/>
          <w:sz w:val="20"/>
          <w:szCs w:val="20"/>
        </w:rPr>
        <w:t xml:space="preserve">¿Qué roles tienen W3 sobre algún sistema público, y quién se lo aprobó?</w:t>
      </w:r>
    </w:p>
    <w:p>
      <w:pPr>
        <w:pStyle w:val="ListParagraph"/>
        <w:numPr>
          <w:ilvl w:val="0"/>
          <w:numId w:val="6"/>
        </w:numPr>
        <w:spacing w:after="80" w:line="300"/>
      </w:pPr>
      <w:r>
        <w:rPr>
          <w:rFonts w:ascii="Inter" w:cs="Inter" w:eastAsia="Inter" w:hAnsi="Inter"/>
          <w:color w:val="111111"/>
          <w:sz w:val="20"/>
          <w:szCs w:val="20"/>
        </w:rPr>
        <w:t xml:space="preserve">¿Qué bloques de wiki están caducados, de qué roles, y quién es su propietario?</w:t>
      </w:r>
    </w:p>
    <w:p>
      <w:pPr>
        <w:pStyle w:val="ListParagraph"/>
        <w:numPr>
          <w:ilvl w:val="0"/>
          <w:numId w:val="6"/>
        </w:numPr>
        <w:spacing w:after="80" w:line="300"/>
      </w:pPr>
      <w:r>
        <w:rPr>
          <w:rFonts w:ascii="Inter" w:cs="Inter" w:eastAsia="Inter" w:hAnsi="Inter"/>
          <w:color w:val="111111"/>
          <w:sz w:val="20"/>
          <w:szCs w:val="20"/>
        </w:rPr>
        <w:t xml:space="preserve">¿Qué aperturas D4 siguen abiertas después de su fecha de caducidad?</w:t>
      </w:r>
    </w:p>
    <w:p>
      <w:pPr>
        <w:spacing w:after="120" w:line="300"/>
      </w:pPr>
      <w:r>
        <w:rPr>
          <w:rFonts w:ascii="Inter" w:cs="Inter" w:eastAsia="Inter" w:hAnsi="Inter"/>
          <w:i/>
          <w:iCs/>
          <w:color w:val="6B6B6B"/>
          <w:sz w:val="20"/>
          <w:szCs w:val="20"/>
        </w:rPr>
        <w:t xml:space="preserve">Si alguna de las tres exige abrir un documento y leerlo, el esquema está mal y la ficha ha vuelto a ser prosa.</w:t>
      </w:r>
    </w:p>
    <w:p>
      <w:pPr>
        <w:spacing w:after="400"/>
      </w:pPr>
    </w:p>
    <w:p>
      <w:pPr>
        <w:pBdr>
          <w:top w:val="single" w:color="DDDDD8" w:sz="8" w:space="8"/>
        </w:pBdr>
        <w:spacing w:before="200"/>
      </w:pPr>
    </w:p>
    <w:p>
      <w:pPr>
        <w:spacing w:after="120" w:line="300"/>
      </w:pPr>
      <w:r>
        <w:rPr>
          <w:rFonts w:ascii="Inter" w:cs="Inter" w:eastAsia="Inter" w:hAnsi="Inter"/>
          <w:i/>
          <w:iCs/>
          <w:color w:val="6B6B6B"/>
          <w:sz w:val="17"/>
          <w:szCs w:val="17"/>
        </w:rPr>
        <w:t xml:space="preserve">Plantilla Maestra de Rol · v1.0 · 13 ago 2026 · Motivo: cerrar los tres huecos operativos de LAB 07 Cap. 2 —interlocución, permisos y conocimiento— antes de escalar el número de roles internos.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rFonts w:ascii="Inter" w:cs="Inter" w:eastAsia="Inter" w:hAnsi="Inter"/>
        <w:color w:val="FF6A00"/>
      </w:rPr>
    </w:lvl>
  </w:abstractNum>
  <w:abstractNum w:abstractNumId="3" w15:restartNumberingAfterBreak="0">
    <w:multiLevelType w:val="hybridMultilevel"/>
    <w:lvl w:ilvl="0" w15:tentative="1">
      <w:start w:val="1"/>
      <w:numFmt w:val="decimal"/>
      <w:lvlText w:val="%1."/>
      <w:lvlJc w:val="left"/>
      <w:pPr>
        <w:ind w:left="400" w:hanging="260"/>
      </w:pPr>
      <w:rPr>
        <w:rFonts w:ascii="Inter" w:cs="Inter" w:eastAsia="Inter" w:hAnsi="Inter"/>
        <w:b/>
        <w:bCs/>
        <w:color w:val="FF6A00"/>
      </w:rPr>
    </w:lvl>
  </w:abstractNum>
  <w:abstractNum w:abstractNumId="4" w15:restartNumberingAfterBreak="0">
    <w:multiLevelType w:val="hybridMultilevel"/>
    <w:lvl w:ilvl="0" w15:tentative="1">
      <w:start w:val="1"/>
      <w:numFmt w:val="decimal"/>
      <w:lvlText w:val="%1."/>
      <w:lvlJc w:val="left"/>
      <w:pPr>
        <w:ind w:left="400" w:hanging="260"/>
      </w:pPr>
      <w:rPr>
        <w:rFonts w:ascii="Inter" w:cs="Inter" w:eastAsia="Inter" w:hAnsi="Inter"/>
        <w:b/>
        <w:bCs/>
        <w:color w:val="FF6A00"/>
      </w:rPr>
    </w:lvl>
  </w:abstractNum>
  <w:abstractNum w:abstractNumId="5" w15:restartNumberingAfterBreak="0">
    <w:multiLevelType w:val="hybridMultilevel"/>
    <w:lvl w:ilvl="0" w15:tentative="1">
      <w:start w:val="1"/>
      <w:numFmt w:val="decimal"/>
      <w:lvlText w:val="%1."/>
      <w:lvlJc w:val="left"/>
      <w:pPr>
        <w:ind w:left="400" w:hanging="260"/>
      </w:pPr>
      <w:rPr>
        <w:rFonts w:ascii="Inter" w:cs="Inter" w:eastAsia="Inter" w:hAnsi="Inter"/>
        <w:b/>
        <w:bCs/>
        <w:color w:val="FF6A00"/>
      </w:rPr>
    </w:lvl>
  </w:abstractNum>
  <w:abstractNum w:abstractNumId="6" w15:restartNumberingAfterBreak="0">
    <w:multiLevelType w:val="hybridMultilevel"/>
    <w:lvl w:ilvl="0" w15:tentative="1">
      <w:start w:val="1"/>
      <w:numFmt w:val="decimal"/>
      <w:lvlText w:val="%1."/>
      <w:lvlJc w:val="left"/>
      <w:pPr>
        <w:ind w:left="400" w:hanging="260"/>
      </w:pPr>
      <w:rPr>
        <w:rFonts w:ascii="Inter" w:cs="Inter" w:eastAsia="Inter" w:hAnsi="Inter"/>
        <w:b/>
        <w:bCs/>
        <w:color w:val="FF6A00"/>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07 Anexo A — Plantilla Maestra de Rol v1.0</dc:title>
  <dc:creator>Vrutal Labs</dc:creator>
  <dc:description>Estándar interno de definición de roles, competencias, permisos y conocimiento</dc:description>
  <cp:lastModifiedBy>Un-named</cp:lastModifiedBy>
  <cp:revision>1</cp:revision>
  <dcterms:created xsi:type="dcterms:W3CDTF">2026-08-13T15:35:02.543Z</dcterms:created>
  <dcterms:modified xsi:type="dcterms:W3CDTF">2026-08-13T15:35:02.543Z</dcterms:modified>
</cp:coreProperties>
</file>

<file path=docProps/custom.xml><?xml version="1.0" encoding="utf-8"?>
<Properties xmlns="http://schemas.openxmlformats.org/officeDocument/2006/custom-properties" xmlns:vt="http://schemas.openxmlformats.org/officeDocument/2006/docPropsVTypes"/>
</file>