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43" w:rsidRPr="00474843" w:rsidRDefault="00474843" w:rsidP="0047484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5"/>
          <w:szCs w:val="55"/>
          <w:lang w:eastAsia="ru-RU"/>
        </w:rPr>
      </w:pPr>
      <w:r w:rsidRPr="00474843">
        <w:rPr>
          <w:rFonts w:ascii="Segoe UI" w:eastAsia="Times New Roman" w:hAnsi="Segoe UI" w:cs="Segoe UI"/>
          <w:color w:val="000000"/>
          <w:kern w:val="36"/>
          <w:sz w:val="55"/>
          <w:szCs w:val="55"/>
          <w:lang w:eastAsia="ru-RU"/>
        </w:rPr>
        <w:t>Обработка исключений и сбоев</w:t>
      </w:r>
    </w:p>
    <w:p w:rsidR="00474843" w:rsidRPr="00474843" w:rsidRDefault="00474843" w:rsidP="00474843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Исключения используются, чтобы передать сведения об ошибках локально в службе или реализации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клиента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.С</w:t>
      </w:r>
      <w:proofErr w:type="spellEnd"/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другой стороны, сбои используются, чтобы передать ошибки за пределы службы, например, от сервера клиенту или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наоборот.Помимо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сбоев каналы транспорта часто используют механизмы, связанные с транспортом, чтобы сообщить об ошибках на транспортном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уровне.Например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транспорт HTTP использует коды состояния, такие как «404», чтобы сообщить о несуществующем конечном URL-адресе (отсутствует конечная точка, чтобы вернуть ошибку).Этот документ состоит из трех разделов, в которых содержится руководство для разработчиков пользовательских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каналов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.В</w:t>
      </w:r>
      <w:proofErr w:type="spellEnd"/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первом разделе содержится руководство о том, когда и как определять и выдавать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исключения.Во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втором разделе содержится руководство по созданию и использованию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ошибок.В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третьем разделе разъясняется, как предоставить данные трассировки, которые помогут пользователю созданного канала устранить неполадки в выполняемых приложениях.</w:t>
      </w:r>
    </w:p>
    <w:p w:rsidR="00474843" w:rsidRPr="00474843" w:rsidRDefault="00474843" w:rsidP="00474843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6" w:tooltip="" w:history="1">
        <w:r w:rsidRPr="00474843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>Исключения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Важно учитывать два момента при создании исключения: во-первых, его тип должен позволять пользователям написать правильный программный код, который будет соответствующим образом реагировать на исключение. Во-вторых, исключение должно содержать достаточно сведений для пользователя, чтобы понять, какой произошел сбой, его последствия и возможные способы устранения. В следующих разделах содержится руководство по типам исключений и сообщениям для каналов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Communication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Foundation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(WCF).Общие инструкции об исключениях в .NET можно также найти в документе «Правила разработки исключений».</w:t>
      </w:r>
    </w:p>
    <w:p w:rsidR="00474843" w:rsidRPr="00474843" w:rsidRDefault="00474843" w:rsidP="00474843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7" w:tooltip="Свернуть" w:history="1">
        <w:r w:rsidRPr="00474843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Типы исключений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Все исключения, создаваемые каналами, должны быть типа </w:t>
      </w:r>
      <w:hyperlink r:id="rId8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System.TimeoutException</w:t>
        </w:r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</w:t>
      </w:r>
      <w:hyperlink r:id="rId9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System.ServiceModel.CommunicationException</w:t>
        </w:r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или типа, унаследованного от 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"https://msdn.microsoft.com/ru-ru/library/system.servicemodel.communicationexception(v=vs.110).aspx" </w:instrTex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474843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ru-RU"/>
        </w:rPr>
        <w:t>CommunicationException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.(Могут также создаваться такие исключения, как 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"https://msdn.microsoft.com/ru-ru/library/system.objectdisposedexception(v=vs.110).aspx" </w:instrTex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474843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ru-RU"/>
        </w:rPr>
        <w:t>ObjectDisposedException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но только для того, чтобы указать на неправильное использование канала вызывающим кодом.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Е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сли канал используется правильно, он должен выдавать только указанные исключения). WCF предоставляет семь типов исключений, унаследованных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от</w:t>
      </w:r>
      <w:hyperlink r:id="rId10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CommunicationException</w:t>
        </w:r>
        <w:proofErr w:type="spellEnd"/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которые предназначены для использования каналами. </w:t>
      </w:r>
      <w:bookmarkStart w:id="0" w:name="_GoBack"/>
      <w:bookmarkEnd w:id="0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Существуют другие исключения, унаследованные от 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"https://msdn.microsoft.com/ru-ru/library/system.servicemodel.communicationexception(v=vs.110).aspx" </w:instrTex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474843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ru-RU"/>
        </w:rPr>
        <w:t>CommunicationException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которые созданы для использования с другими частями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системы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.Э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типы исключений приведены в следующей таблице.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503"/>
        <w:gridCol w:w="3564"/>
        <w:gridCol w:w="1684"/>
      </w:tblGrid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Тип исключения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Внутреннее содержимое исключения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Стратегия восстановления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AddressAlreadyInUseException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Адрес конечной точки, указанный для прослушивания, уже используется.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Если имеется, предоставляет дополнительные сведения об ошибке транспорта, вызвавшей это исключение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.Н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апример:</w:t>
            </w:r>
            <w:hyperlink r:id="rId12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PipeException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</w:t>
            </w:r>
            <w:hyperlink r:id="rId13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HttpListenerException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или</w:t>
            </w:r>
            <w:hyperlink r:id="rId14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SocketException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Повторите попытку с другим адресом.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AddressAccessDeniedException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Доступ к адресу конечной точки, указанному для прослушивания, не разрешен процессом.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Если имеется, предоставляет дополнительные сведения об ошибке транспорта, вызвавшей это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исключение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.Н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апример,</w:t>
            </w:r>
            <w:hyperlink r:id="rId16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PipeExce</w:t>
              </w:r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lastRenderedPageBreak/>
                <w:t>ption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или</w:t>
            </w:r>
            <w:hyperlink r:id="rId17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HttpListenerException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Повторите попытку с другими учетными данными.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CommunicationObjectFaultedException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Используемый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объект</w:t>
            </w:r>
            <w:hyperlink r:id="rId19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ICommunicationObject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находится в состоянии сбоя (дополнительные сведения см. в разделе </w:t>
            </w:r>
            <w:hyperlink r:id="rId20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Основные сведения об изменении состояния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.О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братите внимание, когда объект с несколькими ожидающими вызовами переходит в состояние сбоя, только один вызов создает исключение, относящееся к сбою, а остальные вызовы создают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исключение</w:t>
            </w:r>
            <w:hyperlink r:id="rId21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CommunicationObjectFaultedException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.Это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исключение обычно создается потому, что приложение пропускает какое-либо исключение и пытается использовать объект с уже имеющимся сбоем, возможно находящимся не в том потоке, который перехватил исходное исключение.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Если имеется, предоставляет сведения о внутреннем исключении.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Создать новый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объект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.О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братите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внимание, что в зависимости от причины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сбоя</w:t>
            </w:r>
            <w:hyperlink r:id="rId22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ICommunicationObject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могут потребоваться другие действия для восстановления.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CommunicationObjectAbortedException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Используемый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объект</w:t>
            </w:r>
            <w:hyperlink r:id="rId24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ICommunicationObject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 прерван (дополнительные сведения см. в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разделе</w:t>
            </w:r>
            <w:hyperlink r:id="rId25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Основные</w:t>
              </w:r>
              <w:proofErr w:type="spellEnd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 xml:space="preserve"> сведения об изменении состояния</w:t>
              </w:r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.А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налогично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исключению</w:t>
            </w:r>
            <w:hyperlink r:id="rId26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CommunicationObjectFaultedE</w:t>
              </w:r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lastRenderedPageBreak/>
                <w:t>xception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это исключение вызвало для объекта событие 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instrText xml:space="preserve"> HYPERLINK "https://msdn.microsoft.com/ru-ru/library/system.servicemodel.icommunicationobject.abort(v=vs.110).aspx" </w:instrText>
            </w: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474843">
              <w:rPr>
                <w:rFonts w:ascii="Times New Roman" w:eastAsia="Times New Roman" w:hAnsi="Times New Roman" w:cs="Times New Roman"/>
                <w:color w:val="03697A"/>
                <w:sz w:val="24"/>
                <w:szCs w:val="24"/>
                <w:u w:val="single"/>
                <w:lang w:eastAsia="ru-RU"/>
              </w:rPr>
              <w:t>Abort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end"/>
            </w: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возможно, из другого потока, и поэтому объект больше не используется.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Если имеется, предоставляет сведения о внутреннем исключении.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Создать новый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объект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.О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братите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внимание, что в зависимости от причины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прерывания</w:t>
            </w:r>
            <w:hyperlink r:id="rId27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ICommunicationObject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, могут </w:t>
            </w: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>потребоваться другие действия для восстановления.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EndpointNotFoundException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Удаленная целевая конечная точка не выполняет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прослушивание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.Э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то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может быть вызвано тем, что адреса конечной точки неверен или неразрешим, либо конечная точка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недоступна.Примерами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являются ошибка DNS, недоступность диспетчера очередей и незапущенная служба.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Внутреннее исключение предоставляет сведения, как правило, из используемого транспорта.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Повторите попытку с другим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адресом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.П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ользователь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также может повторить попытку после небольшой паузы, если служба была недоступна.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ProtocolException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Протоколы связи, описанные в политике конечных точек, не совпадают между конечными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точками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.Н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апример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не совпадают типы содержимого кадрирования или превышен максимальный размер сообщения.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Если имеется, предоставляет дополнительную информацию о конкретной ошибке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протокола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.Н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апример,</w:t>
            </w:r>
            <w:hyperlink r:id="rId30" w:history="1"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QuotaExceededException</w:t>
              </w:r>
              <w:proofErr w:type="spellEnd"/>
            </w:hyperlink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— внутреннее исключение, создаваемое когда причина ошибки превышает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MaxReceivedMessageSize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Восстановление: убедитесь в соответствии параметров протоколов отправителя и </w:t>
            </w:r>
            <w:proofErr w:type="spell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получателя</w:t>
            </w:r>
            <w:proofErr w:type="gramStart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.Н</w:t>
            </w:r>
            <w:proofErr w:type="gram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апример</w:t>
            </w:r>
            <w:proofErr w:type="spellEnd"/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для этого можно повторно импортировать метаданные (политику) конечной точки службы и использовать созданную привязку, чтобы заново создать канал.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ServerTooBusyException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Удаленная конечная точка выполняет прослушивание, но не готова к обработке сообщений.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Если имеется, внутренне исключение предоставляет ошибку протокола SOAP или сведения об ошибке на транспортном уровне.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Восстановление: повторите операцию после небольшой паузы.</w:t>
            </w:r>
          </w:p>
        </w:tc>
      </w:tr>
      <w:tr w:rsidR="00474843" w:rsidRPr="00474843" w:rsidTr="0047484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474843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u w:val="single"/>
                  <w:lang w:eastAsia="ru-RU"/>
                </w:rPr>
                <w:t>TimeoutException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 удалось завершить операцию в течение времени ожидания.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Может содержать сведение о времени ожидания.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74843" w:rsidRPr="00474843" w:rsidRDefault="00474843" w:rsidP="00474843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474843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Повторите операцию после небольшой паузы.</w:t>
            </w:r>
          </w:p>
        </w:tc>
      </w:tr>
    </w:tbl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Определите новый тип исключения только в том случае, если данный тип соответствует конкретной стратегии восстановления, отличной от всех существующих типов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исключений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.В</w:t>
      </w:r>
      <w:proofErr w:type="spellEnd"/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случае определения нового типа исключения, он должен быть унаследован от 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"https://msdn.microsoft.com/ru-ru/library/system.servicemodel.communicationexception(v=vs.110).aspx" </w:instrTex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474843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ru-RU"/>
        </w:rPr>
        <w:t>CommunicationException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или одного из его производных классов.</w:t>
      </w:r>
    </w:p>
    <w:p w:rsidR="00474843" w:rsidRPr="00474843" w:rsidRDefault="00474843" w:rsidP="00474843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33" w:tooltip="Свернуть" w:history="1">
        <w:r w:rsidRPr="00474843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Сообщения об исключениях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Сообщения об исключениях предназначены для пользователя, а не для программы, поэтому в них должно содержаться достаточно сведений, чтобы помочь пользователю понять и решить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проблему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.Н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иже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приведены три неотъемлемые части хорошего сообщения об исключении.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Что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произошло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.П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редоставьте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четкое описание проблемы с использованием терминов, относящихся к взаимодействию с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пользователем.Например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"Недопустимый раздел конфигурации" является примером неправильного сообщения об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исключении.В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этом случае у пользователя нет сведений о том, какой раздел и почему является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неправильным.Пример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улучшенного сообщения: «Недопустимый раздел конфигурации &lt;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customBinding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&gt;».Примером еще более точного 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сообщения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может быть «Не удается добавить транспорт с именем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привязку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myBinding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так как в привязке уже есть транспорт с именем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».Это очень конкретное сообщение с использованием терминов и имен, которые пользователь легко может найти в файле конфигурации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приложения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.О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днако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сообщении по-прежнему не хватает нескольких ключевых компонентов.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Значимость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ошибки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.Е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сли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сообщении четко не указано значение ошибки, у пользователя может возникнуть вопрос, является ли ошибка неустранимой, либо ее можно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игнорировать.Как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правило, в сообщениях должно выводиться значение и значимость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ошибки.Предыдущий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пример может быть улучшен следующим образом: «Не удалось открыть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ServiceHost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из-за ошибки конфигурации. Не удается добавить транспорт с имением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привязку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myBinding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так как в привязке уже есть транспорт с именем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».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Способы устранения проблемы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пользователем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.С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амая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важная часть сообщения — помочь пользователю устранить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проблему.В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сообщении должны содержаться некоторые рекомендации или указания о том, что необходимо проверить или исправить, чтобы устранить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проблему.Например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«Не удалось открыть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ServiceHost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из-за ошибки конфигурации. Не удается добавить транспорт с имением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привязку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myBinding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так как в привязке уже есть транспорт с именем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myTransport.Убедитесь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том, что в привязке есть только один транспорт».</w:t>
      </w:r>
    </w:p>
    <w:p w:rsidR="00474843" w:rsidRPr="00474843" w:rsidRDefault="00474843" w:rsidP="00474843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34" w:tooltip="" w:history="1">
        <w:r w:rsidRPr="00474843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>Информирование об ошибках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Протоколы SOAP 1.1 и SOAP 1.2 определяют конкретную структуру для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ошибок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.М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ежду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двумя спецификациями существуют определенные отличия, но для создания и использования ошибок обычно применяются типы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Message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MessageFault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226435" cy="2987675"/>
            <wp:effectExtent l="0" t="0" r="0" b="3175"/>
            <wp:docPr id="1" name="Рисунок 1" descr="Обработка исключений и сбо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63efa1-e2ea-48f3-9d99-0d8799c2ce40" descr="Обработка исключений и сбое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Ошибка SOAP 1.2 (слева) и ошибка SOAP 1.1 (справа)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.О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братите внимание, что только в SOAP 1.1 элемент с ошибкой перечислен в пространстве имен.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Протокол SOAP определяет сообщение об ошибке, как сообщение, содержащее элемент с ошибкой (элемент с именем </w:t>
      </w:r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&lt;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env:Fault</w:t>
      </w:r>
      <w:proofErr w:type="spellEnd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&gt;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), в качестве дочернего элемента </w:t>
      </w:r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&lt;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</w:t>
      </w:r>
      <w:proofErr w:type="gramEnd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Body</w:t>
      </w:r>
      <w:proofErr w:type="spellEnd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&gt;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.Содержимое элемента с ошибкой немного отличается в протоколах SOAP 1.1 и SOAP 1.2, как показано на рисунке 1.Однако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класс</w:t>
      </w:r>
      <w:hyperlink r:id="rId36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System.ServiceModel.Channels.MessageFault</w:t>
        </w:r>
        <w:proofErr w:type="spellEnd"/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нормализует эти различия в одной модели объекта: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class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MessageFault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virtual string Actor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virtual string Node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string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DefaultAction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HasDetail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Reason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GetDetail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&lt;T&gt;();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GetDetail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&lt;T&gt;(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XmlObjectSerializer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System.Xml.XmlDictionaryReader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GetReaderAtDetailContents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other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methods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omitted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Свойство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соответствует свойству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(или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в SOAP 1.1) и определяет тип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ошибки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.П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ротокол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SOAP 1.2 определяет пять допустимых значений для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(например, отправитель и получатель), а также определяет элемент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Subcode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который может содержать значение дополнительного кода.(См.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раздел</w:t>
      </w:r>
      <w:hyperlink r:id="rId37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Спецификация</w:t>
        </w:r>
        <w:proofErr w:type="spellEnd"/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 xml:space="preserve"> SOAP 1.2</w:t>
        </w:r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в котором перечислен список кодов ошибок и их значения). В протоколе SOAP 1.1 используется немного отличный механизм. В нем определено четыре значения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(например, клиент и сервер), которые могут быть расширены с помощью определения полностью новых значений или создания с помощью записи с точкой более конкретных кодов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faultCodes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например,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Client.Authentication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При использовании типа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MessageFault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для программирования ошибок, значение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FaultCode.Name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FaultCode.Namespace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сопоставляется с именем и пространством имен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 SOAP 1.2 или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в SOAP 1.1.Значение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FaultCode.SubCode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сопоставляется со значением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env:Subcode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протокола SOAP 1.2, а для SOAP 1.1 оно равно NULL.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lastRenderedPageBreak/>
        <w:t xml:space="preserve">Если требуется различать ошибку программными средствами, необходимо создать новые дополнительные коды ошибок (или новые коды ошибок при использовании протокола SOAP 1.1).Это аналогично созданию нового типа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исключения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.Н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следует использовать запись через точку с кодами ошибок SOAP 1.1.(В разделе </w:t>
      </w:r>
      <w:hyperlink r:id="rId38" w:history="1"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 xml:space="preserve">WS-I </w:t>
        </w:r>
        <w:proofErr w:type="spellStart"/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Basic</w:t>
        </w:r>
        <w:proofErr w:type="spellEnd"/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474843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ru-RU"/>
          </w:rPr>
          <w:t>Profile</w:t>
        </w:r>
      </w:hyperlink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также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не рекомендуется использовать запись через точку для кода ошибки).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name);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name, string ns);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ns,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IsPredefinedFault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IsReceiverFault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IsSenderFault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Namespace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SubCode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methods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omitted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Свойство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Reason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соответствует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env:Reason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(или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faultString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в SOAP 1.1), удобному для восприятия описанию ошибки, которое аналогично сообщению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исключения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.К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ласс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FaultReason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(и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env:Reason</w:t>
      </w:r>
      <w:proofErr w:type="spellEnd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/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faultString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</w:t>
      </w:r>
      <w:proofErr w:type="spellEnd"/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протоколе SOAP) имеет встроенную поддержку нескольких переводов для обеспечения глобализации.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FaultReasonText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translation);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FaultReasonText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translations);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text);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SynchronizedReadOnlyCollection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FaultReasonText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Translations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Сведения об ошибке предоставляются 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MessageFault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 помощью различных методов, в том числе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GetDetail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&lt;T&gt;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</w:t>
      </w:r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GetReaderAtDetailContents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().Сведения об ошибке — это непрозрачный элемент для передачи дополнительных данных об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ошибке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.Э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то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полезно, если существуют произвольные структурированные сведения, которые необходимо передать с ошибкой.</w:t>
      </w:r>
    </w:p>
    <w:p w:rsidR="00474843" w:rsidRPr="00474843" w:rsidRDefault="00474843" w:rsidP="00474843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39" w:tooltip="Свернуть" w:history="1">
        <w:r w:rsidRPr="00474843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Создание ошибок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данном разделе объясняется процесс создания ошибки в ответ на условие ошибки, обнаруженное в канале или свойстве сообщения, созданном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каналом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.Т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ипичным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примером является отправка обратно ошибки в ответ на сообщение запроса, содержащее недопустимые данные.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При создании ошибки пользовательский канал должен не отправлять ее напрямую, а вызвать исключение и позволить вышестоящему уровню решить, необходимо ли преобразовывать это исключение в ошибку и как ее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отправлять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.Ч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тобы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упростить это преобразование, канал должен предоставить реализацию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которая способна преобразовать вызванное пользовательским каналом исключение в соответствующую ошибку.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определяется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 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следующим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 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образом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: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GetDefaultFaultConverter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MessageVersion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Exception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message);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Exception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  <w:proofErr w:type="spellStart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Каждый канал, создающий пользовательские ошибки, должен реализовать преобразователь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 вернуть его из вызова в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GetProperty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&lt;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&gt;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.Пользовательская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реализация</w:t>
      </w:r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OnTryCreateFaultMessage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должна либо преобразовывать исключение в ошибку либо делегировать его в преобразователь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внутреннего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канала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.Е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сли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канал является транспортом, он должен либо преобразовать исключение либо делегировать его в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кодировщика или в преобразователь по умолчанию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имеющийся 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WCF.Преобразователь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 умолчанию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преобразует ошибки, соответствующие сообщениям об ошибках, которые указаны в WS-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Addressing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SOAP.Ниже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приведен пример реализации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OnTryCreateFaultMessage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exception,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message)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(exception is ...)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...;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IMPLEMENTING_TRANSPORT_CHANNEL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this.encoder.GetProperty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&amp;&amp;            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</w:t>
      </w:r>
      <w:proofErr w:type="spellStart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encoderConverter.TryCreateFaultMessage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out message)))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FaultConverter.GetDefaultFaultConverter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this.channel.messageVersion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defaultConverter.TryCreateFaultMessage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 =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this.innerChannel.GetProperty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(inner != null)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inner.TryCreateFaultMessage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(exception, out message);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этом шаблоне показано, что исключения, вызываемые между уровнями для требующих ошибок условий, должны содержать достаточно сведений для соответствующего генератора ошибок, чтобы создать правильную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ошибку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.Р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азработчики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пользовательских каналов могут определять типы исключений, соответствующие условиям ошибок, если такие исключения не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существуют.Обратите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внимание, что исключения, затрагивающий разные уровни канала, должны передавать условие ошибки, а не непрозрачные данные ошибки.</w:t>
      </w:r>
    </w:p>
    <w:p w:rsidR="00474843" w:rsidRPr="00474843" w:rsidRDefault="00474843" w:rsidP="00474843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40" w:tooltip="Свернуть" w:history="1">
        <w:r w:rsidRPr="00474843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Категории ошибок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Обычно существует три категории ошибок.</w:t>
      </w:r>
    </w:p>
    <w:p w:rsidR="00474843" w:rsidRPr="00474843" w:rsidRDefault="00474843" w:rsidP="0047484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Ошибки, распространяющиеся на весь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стек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.Э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ошибки встречаются на любом уровне в стеке каналов, например,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InvalidCardinalityAddressingException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Ошибки, встречающиеся выше определенного уровня в стеке. Например, некоторые ошибки, относящиеся к поточной транзакции или ролям безопасности.</w:t>
      </w:r>
    </w:p>
    <w:p w:rsidR="00474843" w:rsidRPr="00474843" w:rsidRDefault="00474843" w:rsidP="00474843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Ошибки, направленные на один уровень в стеке, например, ошибки номера последовательности WS-RM.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Категория 1.Как правило, ошибки WS-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Addressing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SOAP.Базовый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класс </w:t>
      </w:r>
      <w:proofErr w:type="spellStart"/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предоставленный WCF, преобразует ошибки, соответствующие сообщениям об ошибках, заданным WS-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Addressing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 SOAP, поэтому не требуется выполнять эти преобразования самостоятельно.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Категория 2.Ошибки происходят, когда уровень добавляет в сообщение свойство, которое не полностью использует сведения о сообщении, относящиеся к данному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уровню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.О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шибки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могут быть обнаружены позже, когда расположенный выше уровень запрашивает свойство сообщения для дальнейшей обработки сведений 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сообщении.Такие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каналы должны реализовать свойство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GetProperty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заданное ранее, чтобы разрешить расположенному выше уровню отправлять обратно правильную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ошибку.Примером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этого может служить 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свойство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TransactionMessageProperty.Это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свойство добавляется в сообщение без полной проверки всех данных в заголовке (для проверки может понадобиться обратиться к координатору распределенных транзакций (DTC).</w:t>
      </w:r>
      <w:proofErr w:type="gramEnd"/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Категория 3.Ошибки создаются и отправляются только одним уровнем 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процессоре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.Т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аким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образом, все исключения содержатся на одном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уровне.Чтобы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улучшить согласованность между каналами и упростить обслуживание, в пользовательском канале следует использовать приведенный ранее шаблон для создания сообщений об ошибках даже для внутренних ошибок.</w:t>
      </w:r>
    </w:p>
    <w:p w:rsidR="00474843" w:rsidRPr="00474843" w:rsidRDefault="00474843" w:rsidP="00474843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41" w:tooltip="Свернуть" w:history="1">
        <w:r w:rsidRPr="00474843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Интерпретация полученных ошибок</w:t>
        </w:r>
      </w:hyperlink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данном разделе содержится руководство по созданию соответствующего исключения при получении сообщения об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ошибке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.Н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иже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приведено дерево принятия решений для обработки сообщения на каждом из уровней стека.</w:t>
      </w:r>
    </w:p>
    <w:p w:rsidR="00474843" w:rsidRPr="00474843" w:rsidRDefault="00474843" w:rsidP="0047484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Если уровень считает сообщение недействительным, он должен выполнить собственную обработку «недействительного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сообщения».Данная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обработка зависит от уровня, но она может включать удаление сообщения, трассировку или вызов исключения, преобразуемого 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ошибку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.П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римерами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являются случаи, когда безопасность получает сообщение с ненадлежащей защитой, или диспетчер ресурсов получает сообщение с неправильным порядковым номером.</w:t>
      </w:r>
    </w:p>
    <w:p w:rsidR="00474843" w:rsidRPr="00474843" w:rsidRDefault="00474843" w:rsidP="0047484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противном случае, если сообщение представляет собой сообщение об ошибке, применимое непосредственно к уровню и не являющееся бессмысленным вне взаимодействия уровня, ошибка должна быть обработана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уровнем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.П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римером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этого является ошибка «отказ последовательности диспетчера ресурсов», являющаяся бессмысленной для уровней, расположенных выше канала диспетчера ресурсов. Это подразумевает сбой канала диспетчера ресурсов и вызов из незавершенных операций.</w:t>
      </w:r>
    </w:p>
    <w:p w:rsidR="00474843" w:rsidRPr="00474843" w:rsidRDefault="00474843" w:rsidP="00474843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lastRenderedPageBreak/>
        <w:t xml:space="preserve">В противном случае сообщение должно быть возвращено из запроса() или получения().Сюда также входят случаи, когда уровень распознает ошибку, но ошибка указывает на сбой запроса и не подразумевает сбой канала и вызов из незавершенных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операций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.Ч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тобы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упростить использование, уровень должен реализовать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GetProperty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&lt;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&gt;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и возвратить производный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класс</w:t>
      </w:r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который может преобразовать исключение, переопределив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OnTryCreateException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Приведенные ниже объектные модели поддерживают преобразование сообщений в исключения.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GetDefaultFaultConverter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MessageVersion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Message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fault,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Exception exception);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Message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fault,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Exception exception);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Уровень канала может реализовать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GetProperty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&lt;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&gt;</w:t>
      </w: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чтобы поддержать преобразование сообщений об ошибках в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исключения</w:t>
      </w:r>
      <w:proofErr w:type="gram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.Д</w:t>
      </w:r>
      <w:proofErr w:type="gram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ля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этого переопределите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lang w:eastAsia="ru-RU"/>
        </w:rPr>
        <w:t>OnTryCreateException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и проверьте сообщение об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ошибке.При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подтверждении выполните преобразование, в противном случае запросите преобразование у внутреннего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канала.Каналы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транспорта должны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делегировать</w:t>
      </w:r>
      <w:r w:rsidRPr="004748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FaultConverter.GetDefaultFaultConverter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получение 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FaultConverter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для SOAP и WS-</w:t>
      </w:r>
      <w:proofErr w:type="spellStart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Addressing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Типичная реализация выглядит следующим образом.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Message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MessageFault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fault,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Exception exception)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message.Action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"...")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...;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OR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fault.Code.Name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"...") &amp;&amp; 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fault.Code.Namespace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"..."))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...;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fault.IsMustUnderstand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fault.WasHeaderNotUnderstood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message.Headers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"...", "..."))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ProtocolException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(...);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IMPLEMENTING_TRANSPORT_CHANNEL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this.encoder.GetProperty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&amp;&amp;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</w:t>
      </w:r>
      <w:proofErr w:type="spellStart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encoderConverter.TryCreateException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fault, out exception)))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FaultConverter.GetDefaultFaultConverter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this.channel.messageVersion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defaultConverter.TryCreateException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fault, out exception);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 = 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this.innerChannel.GetProperty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FaultConverter</w:t>
      </w:r>
      <w:proofErr w:type="spellEnd"/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(inner != null)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inner.TryCreateException</w:t>
      </w:r>
      <w:proofErr w:type="spell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(message, fault, out exception);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</w:p>
    <w:p w:rsidR="00474843" w:rsidRPr="00474843" w:rsidRDefault="00474843" w:rsidP="0047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48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74843" w:rsidRPr="00474843" w:rsidRDefault="00474843" w:rsidP="0047484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474843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ru-RU"/>
        </w:rPr>
        <w:t>Для конкретных условий ошибки, имеющих определенные сценарии восстановления, можно задать производный класс </w:t>
      </w:r>
      <w:proofErr w:type="spellStart"/>
      <w:r w:rsidRPr="00474843">
        <w:rPr>
          <w:rFonts w:ascii="Consolas" w:eastAsia="Times New Roman" w:hAnsi="Consolas" w:cs="Consolas"/>
          <w:color w:val="006400"/>
          <w:sz w:val="20"/>
          <w:szCs w:val="20"/>
          <w:shd w:val="clear" w:color="auto" w:fill="FFFFE1"/>
          <w:lang w:eastAsia="ru-RU"/>
        </w:rPr>
        <w:t>ProtocolException</w:t>
      </w:r>
      <w:proofErr w:type="spellEnd"/>
      <w:r w:rsidRPr="00474843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ru-RU"/>
        </w:rPr>
        <w:t>.</w:t>
      </w:r>
    </w:p>
    <w:p w:rsidR="002827AB" w:rsidRDefault="002827AB"/>
    <w:sectPr w:rsidR="00282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7739B"/>
    <w:multiLevelType w:val="multilevel"/>
    <w:tmpl w:val="9D1A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070784"/>
    <w:multiLevelType w:val="multilevel"/>
    <w:tmpl w:val="0D4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43"/>
    <w:rsid w:val="002827AB"/>
    <w:rsid w:val="004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4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4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8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48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74843"/>
  </w:style>
  <w:style w:type="character" w:styleId="a3">
    <w:name w:val="Hyperlink"/>
    <w:basedOn w:val="a0"/>
    <w:uiPriority w:val="99"/>
    <w:semiHidden/>
    <w:unhideWhenUsed/>
    <w:rsid w:val="00474843"/>
    <w:rPr>
      <w:color w:val="0000FF"/>
      <w:u w:val="single"/>
    </w:rPr>
  </w:style>
  <w:style w:type="character" w:styleId="a4">
    <w:name w:val="Strong"/>
    <w:basedOn w:val="a0"/>
    <w:uiPriority w:val="22"/>
    <w:qFormat/>
    <w:rsid w:val="00474843"/>
    <w:rPr>
      <w:b/>
      <w:bCs/>
    </w:rPr>
  </w:style>
  <w:style w:type="paragraph" w:styleId="a5">
    <w:name w:val="Normal (Web)"/>
    <w:basedOn w:val="a"/>
    <w:uiPriority w:val="99"/>
    <w:unhideWhenUsed/>
    <w:rsid w:val="0047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474843"/>
  </w:style>
  <w:style w:type="character" w:customStyle="1" w:styleId="lwcollapsibleareatitle">
    <w:name w:val="lw_collapsiblearea_title"/>
    <w:basedOn w:val="a0"/>
    <w:rsid w:val="00474843"/>
  </w:style>
  <w:style w:type="paragraph" w:styleId="HTML">
    <w:name w:val="HTML Preformatted"/>
    <w:basedOn w:val="a"/>
    <w:link w:val="HTML0"/>
    <w:uiPriority w:val="99"/>
    <w:semiHidden/>
    <w:unhideWhenUsed/>
    <w:rsid w:val="0047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8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474843"/>
  </w:style>
  <w:style w:type="paragraph" w:styleId="a6">
    <w:name w:val="Balloon Text"/>
    <w:basedOn w:val="a"/>
    <w:link w:val="a7"/>
    <w:uiPriority w:val="99"/>
    <w:semiHidden/>
    <w:unhideWhenUsed/>
    <w:rsid w:val="0047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4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4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4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8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48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74843"/>
  </w:style>
  <w:style w:type="character" w:styleId="a3">
    <w:name w:val="Hyperlink"/>
    <w:basedOn w:val="a0"/>
    <w:uiPriority w:val="99"/>
    <w:semiHidden/>
    <w:unhideWhenUsed/>
    <w:rsid w:val="00474843"/>
    <w:rPr>
      <w:color w:val="0000FF"/>
      <w:u w:val="single"/>
    </w:rPr>
  </w:style>
  <w:style w:type="character" w:styleId="a4">
    <w:name w:val="Strong"/>
    <w:basedOn w:val="a0"/>
    <w:uiPriority w:val="22"/>
    <w:qFormat/>
    <w:rsid w:val="00474843"/>
    <w:rPr>
      <w:b/>
      <w:bCs/>
    </w:rPr>
  </w:style>
  <w:style w:type="paragraph" w:styleId="a5">
    <w:name w:val="Normal (Web)"/>
    <w:basedOn w:val="a"/>
    <w:uiPriority w:val="99"/>
    <w:unhideWhenUsed/>
    <w:rsid w:val="0047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474843"/>
  </w:style>
  <w:style w:type="character" w:customStyle="1" w:styleId="lwcollapsibleareatitle">
    <w:name w:val="lw_collapsiblearea_title"/>
    <w:basedOn w:val="a0"/>
    <w:rsid w:val="00474843"/>
  </w:style>
  <w:style w:type="paragraph" w:styleId="HTML">
    <w:name w:val="HTML Preformatted"/>
    <w:basedOn w:val="a"/>
    <w:link w:val="HTML0"/>
    <w:uiPriority w:val="99"/>
    <w:semiHidden/>
    <w:unhideWhenUsed/>
    <w:rsid w:val="0047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8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474843"/>
  </w:style>
  <w:style w:type="paragraph" w:styleId="a6">
    <w:name w:val="Balloon Text"/>
    <w:basedOn w:val="a"/>
    <w:link w:val="a7"/>
    <w:uiPriority w:val="99"/>
    <w:semiHidden/>
    <w:unhideWhenUsed/>
    <w:rsid w:val="0047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4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5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9711313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25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26540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1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0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504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212915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1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1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2390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05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575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81441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6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939393"/>
                                                    <w:left w:val="single" w:sz="6" w:space="0" w:color="939393"/>
                                                    <w:bottom w:val="single" w:sz="6" w:space="0" w:color="939393"/>
                                                    <w:right w:val="single" w:sz="6" w:space="0" w:color="939393"/>
                                                  </w:divBdr>
                                                  <w:divsChild>
                                                    <w:div w:id="8810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9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1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6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939393"/>
                                                    <w:left w:val="single" w:sz="6" w:space="0" w:color="939393"/>
                                                    <w:bottom w:val="single" w:sz="6" w:space="0" w:color="939393"/>
                                                    <w:right w:val="single" w:sz="6" w:space="0" w:color="939393"/>
                                                  </w:divBdr>
                                                  <w:divsChild>
                                                    <w:div w:id="125470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4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0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7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939393"/>
                                                    <w:left w:val="single" w:sz="6" w:space="0" w:color="939393"/>
                                                    <w:bottom w:val="single" w:sz="6" w:space="0" w:color="939393"/>
                                                    <w:right w:val="single" w:sz="6" w:space="0" w:color="939393"/>
                                                  </w:divBdr>
                                                  <w:divsChild>
                                                    <w:div w:id="202285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8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5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939393"/>
                                                    <w:left w:val="single" w:sz="6" w:space="0" w:color="939393"/>
                                                    <w:bottom w:val="single" w:sz="6" w:space="0" w:color="939393"/>
                                                    <w:right w:val="single" w:sz="6" w:space="0" w:color="939393"/>
                                                  </w:divBdr>
                                                  <w:divsChild>
                                                    <w:div w:id="103973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2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system.net.httplistenerexception(v=vs.110).aspx" TargetMode="External"/><Relationship Id="rId18" Type="http://schemas.openxmlformats.org/officeDocument/2006/relationships/hyperlink" Target="https://msdn.microsoft.com/ru-ru/library/system.servicemodel.communicationobjectfaultedexception(v=vs.110).aspx" TargetMode="External"/><Relationship Id="rId26" Type="http://schemas.openxmlformats.org/officeDocument/2006/relationships/hyperlink" Target="https://msdn.microsoft.com/ru-ru/library/system.servicemodel.communicationobjectfaultedexception(v=vs.110).aspx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https://msdn.microsoft.com/ru-ru/library/system.servicemodel.communicationobjectfaultedexception(v=vs.110).aspx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system.io.pipeexception(v=vs.110).aspx" TargetMode="External"/><Relationship Id="rId20" Type="http://schemas.openxmlformats.org/officeDocument/2006/relationships/hyperlink" Target="https://msdn.microsoft.com/ru-ru/library/ms789041(v=vs.110).aspx" TargetMode="External"/><Relationship Id="rId29" Type="http://schemas.openxmlformats.org/officeDocument/2006/relationships/hyperlink" Target="https://msdn.microsoft.com/ru-ru/library/system.servicemodel.protocolexception(v=vs.110).aspx" TargetMode="External"/><Relationship Id="rId41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msdn.microsoft.com/ru-ru/library/system.servicemodel.addressalreadyinuseexception(v=vs.110).aspx" TargetMode="External"/><Relationship Id="rId24" Type="http://schemas.openxmlformats.org/officeDocument/2006/relationships/hyperlink" Target="https://msdn.microsoft.com/ru-ru/library/system.servicemodel.icommunicationobject(v=vs.110).aspx" TargetMode="External"/><Relationship Id="rId32" Type="http://schemas.openxmlformats.org/officeDocument/2006/relationships/hyperlink" Target="https://msdn.microsoft.com/ru-ru/library/system.timeoutexception(v=vs.110).aspx" TargetMode="External"/><Relationship Id="rId37" Type="http://schemas.openxmlformats.org/officeDocument/2006/relationships/hyperlink" Target="http://go.microsoft.com/fwlink/?LinkId=95176" TargetMode="External"/><Relationship Id="rId40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system.servicemodel.addressaccessdeniedexception(v=vs.110).aspx" TargetMode="External"/><Relationship Id="rId23" Type="http://schemas.openxmlformats.org/officeDocument/2006/relationships/hyperlink" Target="https://msdn.microsoft.com/ru-ru/library/system.servicemodel.communicationobjectabortedexception(v=vs.110).aspx" TargetMode="External"/><Relationship Id="rId28" Type="http://schemas.openxmlformats.org/officeDocument/2006/relationships/hyperlink" Target="https://msdn.microsoft.com/ru-ru/library/system.servicemodel.endpointnotfoundexception(v=vs.110).aspx" TargetMode="External"/><Relationship Id="rId36" Type="http://schemas.openxmlformats.org/officeDocument/2006/relationships/hyperlink" Target="https://msdn.microsoft.com/ru-ru/library/system.servicemodel.channels.messagefault(v=vs.110).aspx" TargetMode="External"/><Relationship Id="rId10" Type="http://schemas.openxmlformats.org/officeDocument/2006/relationships/hyperlink" Target="https://msdn.microsoft.com/ru-ru/library/system.servicemodel.communicationexception(v=vs.110).aspx" TargetMode="External"/><Relationship Id="rId19" Type="http://schemas.openxmlformats.org/officeDocument/2006/relationships/hyperlink" Target="https://msdn.microsoft.com/ru-ru/library/system.servicemodel.icommunicationobject(v=vs.110).aspx" TargetMode="External"/><Relationship Id="rId31" Type="http://schemas.openxmlformats.org/officeDocument/2006/relationships/hyperlink" Target="https://msdn.microsoft.com/ru-ru/library/system.servicemodel.servertoobusyexception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servicemodel.communicationexception(v=vs.110).aspx" TargetMode="External"/><Relationship Id="rId14" Type="http://schemas.openxmlformats.org/officeDocument/2006/relationships/hyperlink" Target="https://msdn.microsoft.com/ru-ru/library/system.net.sockets.socketexception(v=vs.110).aspx" TargetMode="External"/><Relationship Id="rId22" Type="http://schemas.openxmlformats.org/officeDocument/2006/relationships/hyperlink" Target="https://msdn.microsoft.com/ru-ru/library/system.servicemodel.icommunicationobject(v=vs.110).aspx" TargetMode="External"/><Relationship Id="rId27" Type="http://schemas.openxmlformats.org/officeDocument/2006/relationships/hyperlink" Target="https://msdn.microsoft.com/ru-ru/library/system.servicemodel.icommunicationobject(v=vs.110).aspx" TargetMode="External"/><Relationship Id="rId30" Type="http://schemas.openxmlformats.org/officeDocument/2006/relationships/hyperlink" Target="https://msdn.microsoft.com/ru-ru/library/system.servicemodel.quotaexceededexception(v=vs.110).aspx" TargetMode="External"/><Relationship Id="rId35" Type="http://schemas.openxmlformats.org/officeDocument/2006/relationships/image" Target="media/image1.gif"/><Relationship Id="rId43" Type="http://schemas.openxmlformats.org/officeDocument/2006/relationships/theme" Target="theme/theme1.xml"/><Relationship Id="rId8" Type="http://schemas.openxmlformats.org/officeDocument/2006/relationships/hyperlink" Target="https://msdn.microsoft.com/ru-ru/library/system.timeoutexception(v=vs.110)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sdn.microsoft.com/ru-ru/library/system.io.pipeexception(v=vs.110).aspx" TargetMode="External"/><Relationship Id="rId17" Type="http://schemas.openxmlformats.org/officeDocument/2006/relationships/hyperlink" Target="https://msdn.microsoft.com/ru-ru/library/system.net.httplistenerexception(v=vs.110).aspx" TargetMode="External"/><Relationship Id="rId25" Type="http://schemas.openxmlformats.org/officeDocument/2006/relationships/hyperlink" Target="https://msdn.microsoft.com/ru-ru/library/ms789041(v=vs.110).aspx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http://go.microsoft.com/fwlink/?LinkId=951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3878</Words>
  <Characters>22106</Characters>
  <Application>Microsoft Office Word</Application>
  <DocSecurity>0</DocSecurity>
  <Lines>184</Lines>
  <Paragraphs>51</Paragraphs>
  <ScaleCrop>false</ScaleCrop>
  <Company/>
  <LinksUpToDate>false</LinksUpToDate>
  <CharactersWithSpaces>25933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2015-11-27T06:34:00Z</dcterms:created>
  <dcterms:modified xsi:type="dcterms:W3CDTF">2015-11-27T06:37:00Z</dcterms:modified>
</cp:coreProperties>
</file>