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Modelagem matemática da variação do estoque de sangue O negativo por meio da integral definida</w:t>
      </w:r>
    </w:p>
    <w:p>
      <w:pPr>
        <w:spacing w:after="1400"/>
        <w:jc w:val="center"/>
      </w:pPr>
      <w:r>
        <w:rPr>
          <w:color w:val="4B5C5A"/>
          <w:sz w:val="26"/>
          <w:szCs w:val="26"/>
        </w:rPr>
        <w:t xml:space="preserve">Cálculo Computacional II</w:t>
      </w:r>
    </w:p>
    <w:p>
      <w:pPr>
        <w:spacing w:after="140" w:before="0" w:line="300"/>
        <w:jc w:val="center"/>
      </w:pPr>
      <w:r>
        <w:rPr>
          <w:sz w:val="24"/>
          <w:szCs w:val="24"/>
        </w:rPr>
        <w:t xml:space="preserve">Vanessa da Silva Cavalcanti</w:t>
      </w:r>
    </w:p>
    <w:p>
      <w:pPr>
        <w:spacing w:after="140" w:before="0" w:line="300"/>
        <w:jc w:val="center"/>
      </w:pPr>
      <w:r>
        <w:rPr>
          <w:color w:val="4B5C5A"/>
          <w:sz w:val="22"/>
          <w:szCs w:val="22"/>
        </w:rPr>
        <w:t xml:space="preserve">Ciência da Computação — Universidade Tiradentes</w:t>
      </w:r>
    </w:p>
    <w:p>
      <w:pPr>
        <w:spacing w:after="140" w:before="0" w:line="300"/>
        <w:jc w:val="center"/>
      </w:pPr>
      <w:r>
        <w:rPr>
          <w:color w:val="4B5C5A"/>
          <w:sz w:val="22"/>
          <w:szCs w:val="22"/>
        </w:rPr>
        <w:t xml:space="preserve">Recife, setembro de 2026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sz w:val="30"/>
          <w:szCs w:val="30"/>
        </w:rPr>
        <w:t xml:space="preserve">1. Plano estruturado do projeto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1.1 Título</w:t>
      </w:r>
    </w:p>
    <w:p>
      <w:pPr>
        <w:spacing w:after="140" w:before="0" w:line="300"/>
      </w:pPr>
      <w:r>
        <w:rPr>
          <w:sz w:val="22"/>
          <w:szCs w:val="22"/>
        </w:rPr>
        <w:t xml:space="preserve">Modelagem matemática da variação do estoque de sangue O negativo por meio da integral definida.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1.2 Problema de pesquisa</w:t>
      </w:r>
    </w:p>
    <w:p>
      <w:pPr>
        <w:spacing w:after="140" w:before="0" w:line="300"/>
      </w:pPr>
      <w:r>
        <w:rPr>
          <w:sz w:val="22"/>
          <w:szCs w:val="22"/>
        </w:rPr>
        <w:t xml:space="preserve">De quanto varia o estoque de sangue O negativo ao longo de seis meses, considerando que doação e consumo são taxas que mudam com o calendário?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1.3 Justificativa</w:t>
      </w:r>
    </w:p>
    <w:p>
      <w:pPr>
        <w:spacing w:after="140" w:before="0" w:line="300"/>
      </w:pPr>
      <w:r>
        <w:rPr>
          <w:sz w:val="22"/>
          <w:szCs w:val="22"/>
        </w:rPr>
        <w:t xml:space="preserve">Planejar as campanhas de captação e prevenir a escassez nos bancos de sangue. O tipo O negativo é o doador universal de hemácias: é o que sai primeiro em situação de emergência, quando não há tempo de tipar o paciente, e é ao mesmo tempo o que menos entra, por ser raro na população.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1.4 Objetivos</w:t>
      </w:r>
    </w:p>
    <w:p>
      <w:pPr>
        <w:spacing w:after="140" w:before="0" w:line="300"/>
      </w:pPr>
      <w:r>
        <w:rPr>
          <w:sz w:val="22"/>
          <w:szCs w:val="22"/>
        </w:rPr>
        <w:t xml:space="preserve">Modelar doação e consumo como funções do tempo; analisar a variação do estoque pela integral definida da diferença entre elas; comparar os meses de pico com os meses calmos, e a integração exata com os métodos numéricos.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1.5 Metodologia</w:t>
      </w:r>
    </w:p>
    <w:p>
      <w:pPr>
        <w:spacing w:after="140" w:before="0" w:line="300"/>
      </w:pPr>
      <w:r>
        <w:rPr>
          <w:sz w:val="22"/>
          <w:szCs w:val="22"/>
        </w:rPr>
        <w:t xml:space="preserve">Levantamento dos dados de referência, ajuste das retas, integração analítica pelo Teorema Fundamental do Cálculo e implementação computacional dos métodos numéricos para conferir o resultado.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1.6 Resultado esperado</w:t>
      </w:r>
    </w:p>
    <w:p>
      <w:pPr>
        <w:spacing w:after="140" w:before="0" w:line="300"/>
      </w:pPr>
      <w:r>
        <w:rPr>
          <w:sz w:val="22"/>
          <w:szCs w:val="22"/>
        </w:rPr>
        <w:t xml:space="preserve">Identificar em que meses o saldo fica negativo e verificar a precisão de cada método de integração.</w:t>
      </w:r>
    </w:p>
    <w:p>
      <w:pPr>
        <w:pStyle w:val="Heading1"/>
        <w:spacing w:after="140" w:before="300"/>
      </w:pPr>
      <w:r>
        <w:rPr>
          <w:b/>
          <w:bCs/>
          <w:sz w:val="30"/>
          <w:szCs w:val="30"/>
        </w:rPr>
        <w:t xml:space="preserve">2. Origem dos dados</w:t>
      </w:r>
    </w:p>
    <w:p>
      <w:pPr>
        <w:spacing w:after="140" w:before="0" w:line="300"/>
      </w:pPr>
      <w:r>
        <w:rPr>
          <w:sz w:val="22"/>
          <w:szCs w:val="22"/>
        </w:rPr>
        <w:t xml:space="preserve">A Fundação Hemope produz em média 320 mil bolsas de sangue por ano, o que corresponde a cerca de 26.700 bolsas por mês somando todos os tipos sanguíneos.</w:t>
      </w:r>
    </w:p>
    <w:p>
      <w:pPr>
        <w:spacing w:after="140" w:before="0" w:line="300"/>
      </w:pPr>
      <w:r>
        <w:rPr>
          <w:sz w:val="22"/>
          <w:szCs w:val="22"/>
        </w:rPr>
        <w:t xml:space="preserve">Tomando a fração de doadores O negativo como aproximadamente 4% da população doadora, chega-se a algo próximo de 1.070 bolsas mensais, que é a ordem de grandeza em que o modelo trabalha.</w:t>
      </w:r>
    </w:p>
    <w:p>
      <w:pPr>
        <w:spacing w:after="140" w:before="0" w:line="300"/>
      </w:pPr>
      <w:r>
        <w:rPr>
          <w:sz w:val="22"/>
          <w:szCs w:val="22"/>
        </w:rPr>
        <w:t xml:space="preserve">Esse percentual de 4% é uma premissa do modelo, e não um dado oficial do Hemope. Recomenda-se confirmá-lo junto ao hemocentro pelo canal da Lei de Acesso à Informação antes da versão definitiva do trabalho.</w:t>
      </w:r>
    </w:p>
    <w:p>
      <w:pPr>
        <w:pStyle w:val="Heading1"/>
        <w:spacing w:after="140" w:before="300"/>
      </w:pPr>
      <w:r>
        <w:rPr>
          <w:b/>
          <w:bCs/>
          <w:sz w:val="30"/>
          <w:szCs w:val="30"/>
        </w:rPr>
        <w:t xml:space="preserve">3. As funções do modelo</w:t>
      </w:r>
    </w:p>
    <w:p>
      <w:pPr>
        <w:spacing w:after="140" w:before="0" w:line="300"/>
      </w:pPr>
      <w:r>
        <w:rPr>
          <w:sz w:val="22"/>
          <w:szCs w:val="22"/>
        </w:rPr>
        <w:t xml:space="preserve">O tempo t é contado em meses, com t = 0 em 1º de janeiro e t = 6 no encerramento de junho. As duas funções devolvem bolsas por mês.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3.1 Doação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D(t) = 80t + 950          para 0 ≤ t ≤ 6</w:t>
      </w:r>
    </w:p>
    <w:p>
      <w:pPr>
        <w:spacing w:after="140" w:before="0" w:line="300"/>
      </w:pPr>
      <w:r>
        <w:rPr>
          <w:sz w:val="22"/>
          <w:szCs w:val="22"/>
        </w:rPr>
        <w:t xml:space="preserve">A função parte de 950 bolsas em janeiro, no fundo do período de férias, e alcança 1.430 bolsas em junho. O coeficiente angular positivo traduz a recuperação da captação ao longo do semestre.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3.2 Consumo</w:t>
      </w:r>
    </w:p>
    <w:p>
      <w:pPr>
        <w:spacing w:after="140" w:before="0" w:line="300"/>
      </w:pPr>
      <w:r>
        <w:rPr>
          <w:sz w:val="22"/>
          <w:szCs w:val="22"/>
        </w:rPr>
        <w:t xml:space="preserve">O consumo não cabe em uma única reta, porque o calendário do semestre contém dois eventos distintos. A função é, portanto, definida por partes: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C(t) = 100t + 1100     para 0 ≤ t ≤ 2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C(t) = −120t + 1540    para 2 ≤ t ≤ 5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C(t) = 160t + 140      para 5 ≤ t ≤ 6</w:t>
      </w:r>
    </w:p>
    <w:p>
      <w:pPr>
        <w:spacing w:after="140" w:before="0" w:line="300"/>
      </w:pPr>
      <w:r>
        <w:rPr>
          <w:sz w:val="22"/>
          <w:szCs w:val="22"/>
        </w:rPr>
        <w:t xml:space="preserve">O primeiro trecho cobre o verão e a subida até o pico do Carnaval; o segundo, a queda posterior; o terceiro, a elevação das festas de São João.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3.3 Verificação da continuidade</w:t>
      </w:r>
    </w:p>
    <w:p>
      <w:pPr>
        <w:spacing w:after="140" w:before="0" w:line="300"/>
      </w:pPr>
      <w:r>
        <w:rPr>
          <w:sz w:val="22"/>
          <w:szCs w:val="22"/>
        </w:rPr>
        <w:t xml:space="preserve">As três retas precisam se encontrar sem salto nos pontos de junção. Essa é a primeira verificação do modelo: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1900"/>
      </w:tblGrid>
      <w:tr>
        <w:trPr>
          <w:tblHeader/>
        </w:trPr>
        <w:tc>
          <w:tcPr>
            <w:tcW w:type="dxa" w:w="32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Ponto de junção</w:t>
            </w:r>
          </w:p>
        </w:tc>
        <w:tc>
          <w:tcPr>
            <w:tcW w:type="dxa" w:w="19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Pela esquerda</w:t>
            </w:r>
          </w:p>
        </w:tc>
        <w:tc>
          <w:tcPr>
            <w:tcW w:type="dxa" w:w="19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Pela direita</w:t>
            </w:r>
          </w:p>
        </w:tc>
        <w:tc>
          <w:tcPr>
            <w:tcW w:type="dxa" w:w="19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Situação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t = 2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1300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1300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contínua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t = 5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940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940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contínua</w:t>
            </w:r>
          </w:p>
        </w:tc>
      </w:tr>
    </w:tbl>
    <w:p>
      <w:pPr>
        <w:spacing w:after="140" w:before="160" w:line="300"/>
      </w:pPr>
      <w:r>
        <w:rPr>
          <w:sz w:val="22"/>
          <w:szCs w:val="22"/>
        </w:rPr>
        <w:t xml:space="preserve">Como os valores coincidem, a função de consumo é contínua em todo o intervalo [0, 6].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sz w:val="30"/>
          <w:szCs w:val="30"/>
        </w:rPr>
        <w:t xml:space="preserve">4. Resolução da integral do semestre</w:t>
      </w:r>
    </w:p>
    <w:p>
      <w:pPr>
        <w:spacing w:after="140" w:before="0" w:line="300"/>
      </w:pPr>
      <w:r>
        <w:rPr>
          <w:sz w:val="22"/>
          <w:szCs w:val="22"/>
        </w:rPr>
        <w:t xml:space="preserve">A variação do estoque é a integral definida da diferença entre as duas taxas: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ΔE = ∫₀⁶ D(t) dt − ∫₀⁶ C(t) dt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4.1 Integral da doação</w:t>
      </w:r>
    </w:p>
    <w:p>
      <w:pPr>
        <w:spacing w:after="140" w:before="0" w:line="300"/>
      </w:pPr>
      <w:r>
        <w:rPr>
          <w:sz w:val="22"/>
          <w:szCs w:val="22"/>
        </w:rPr>
        <w:t xml:space="preserve">A primitiva de 80t + 950 é 40t² + 950t. Aplicando o Teorema Fundamental do Cálculo: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∫₀⁶ (80t + 950) dt = [40t² + 950t]₀⁶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(40 · 36 + 950 · 6) − 0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(1440 + 5700) − 0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7140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4.2 Integral do consumo</w:t>
      </w:r>
    </w:p>
    <w:p>
      <w:pPr>
        <w:spacing w:after="140" w:before="0" w:line="300"/>
      </w:pPr>
      <w:r>
        <w:rPr>
          <w:sz w:val="22"/>
          <w:szCs w:val="22"/>
        </w:rPr>
        <w:t xml:space="preserve">Como a função de consumo é definida por partes, a integral se decompõe em três parcelas, uma para cada trecho. A soma das partes é a integral do todo — é a propriedade de aditividade em relação ao intervalo de integração.</w:t>
      </w:r>
    </w:p>
    <w:p>
      <w:pPr>
        <w:spacing w:after="140" w:before="160" w:line="300"/>
      </w:pPr>
      <w:r>
        <w:rPr>
          <w:b/>
          <w:bCs/>
          <w:sz w:val="22"/>
          <w:szCs w:val="22"/>
        </w:rPr>
        <w:t xml:space="preserve">Primeiro trecho, de 0 a 2: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∫₀² (100t + 1100) dt = [50t² + 1100t]₀²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(50 · 4 + 1100 · 2) − 0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(200 + 2200) − 0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2400</w:t>
      </w:r>
    </w:p>
    <w:p>
      <w:pPr>
        <w:spacing w:after="140" w:before="160" w:line="300"/>
      </w:pPr>
      <w:r>
        <w:rPr>
          <w:b/>
          <w:bCs/>
          <w:sz w:val="22"/>
          <w:szCs w:val="22"/>
        </w:rPr>
        <w:t xml:space="preserve">Segundo trecho, de 2 a 5: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∫₂⁵ (−120t + 1540) dt = [−60t² + 1540t]₂⁵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(−60 · 25 + 1540 · 5) − (−60 · 4 + 1540 · 2)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(−1500 + 7700) − (−240 + 3080)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6200 − 2840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3360</w:t>
      </w:r>
    </w:p>
    <w:p>
      <w:pPr>
        <w:spacing w:after="140" w:before="160" w:line="300"/>
      </w:pPr>
      <w:r>
        <w:rPr>
          <w:b/>
          <w:bCs/>
          <w:sz w:val="22"/>
          <w:szCs w:val="22"/>
        </w:rPr>
        <w:t xml:space="preserve">Terceiro trecho, de 5 a 6: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∫₅⁶ (160t + 140) dt = [80t² + 140t]₅⁶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(80 · 36 + 140 · 6) − (80 · 25 + 140 · 5)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(2880 + 840) − (2000 + 700)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3720 − 2700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1020</w:t>
      </w:r>
    </w:p>
    <w:p>
      <w:pPr>
        <w:spacing w:after="140" w:before="160" w:line="300"/>
      </w:pPr>
      <w:r>
        <w:rPr>
          <w:b/>
          <w:bCs/>
          <w:sz w:val="22"/>
          <w:szCs w:val="22"/>
        </w:rPr>
        <w:t xml:space="preserve">Consumo total do semestre: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∫₀⁶ C(t) dt = 2400 + 3360 + 1020 = 6780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4.3 Saldo do semestre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ΔE = 7140 − 6780 = +360 bolsas</w:t>
      </w:r>
    </w:p>
    <w:p>
      <w:pPr>
        <w:spacing w:after="140" w:before="0" w:line="300"/>
      </w:pPr>
      <w:r>
        <w:rPr>
          <w:sz w:val="22"/>
          <w:szCs w:val="22"/>
        </w:rPr>
        <w:t xml:space="preserve">O semestre encerra com 360 bolsas a mais do que começou. O resultado sugere folga — e é precisamente nesse ponto que reside a contribuição do trabalho.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sz w:val="30"/>
          <w:szCs w:val="30"/>
        </w:rPr>
        <w:t xml:space="preserve">5. Comparação entre fevereiro e abril</w:t>
      </w:r>
    </w:p>
    <w:p>
      <w:pPr>
        <w:spacing w:after="140" w:before="0" w:line="300"/>
      </w:pPr>
      <w:r>
        <w:rPr>
          <w:sz w:val="22"/>
          <w:szCs w:val="22"/>
        </w:rPr>
        <w:t xml:space="preserve">Alterando apenas os limites de integração, as mesmas primitivas respondem mês a mês. Fevereiro corresponde ao intervalo [1, 2], que recai sobre o primeiro trecho de C; abril corresponde a [3, 4], que recai sobre o segundo.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5.1 Fevereiro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∫₁² (80t + 950) dt = [40t² + 950t]₁²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(160 + 1900) − (40 + 950)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2060 − 990 = 1070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∫₁² (100t + 1100) dt = [50t² + 1100t]₁²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(200 + 2200) − (50 + 1100)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2400 − 1150 = 1250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Saldo = 1070 − 1250 = −180 bolsas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5.2 Abril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∫₃⁴ (80t + 950) dt = [40t² + 950t]₃⁴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(640 + 3800) − (360 + 2850)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4440 − 3210 = 1230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∫₃⁴ (−120t + 1540) dt = [−60t² + 1540t]₃⁴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(−960 + 6160) − (−540 + 4620)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 5200 − 4080 = 1120</w:t>
      </w:r>
    </w:p>
    <w:p>
      <w:pPr>
        <w:spacing w:after="140" w:before="100" w:line="2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Saldo = 1230 − 1120 = +110 bolsas</w:t>
      </w:r>
    </w:p>
    <w:p>
      <w:pPr>
        <w:pStyle w:val="Heading2"/>
        <w:spacing w:after="140" w:before="300"/>
      </w:pPr>
      <w:r>
        <w:rPr>
          <w:b/>
          <w:bCs/>
          <w:sz w:val="25"/>
          <w:szCs w:val="25"/>
        </w:rPr>
        <w:t xml:space="preserve">5.3 Quadro comparativo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1900"/>
      </w:tblGrid>
      <w:tr>
        <w:trPr>
          <w:tblHeader/>
        </w:trPr>
        <w:tc>
          <w:tcPr>
            <w:tcW w:type="dxa" w:w="32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Período</w:t>
            </w:r>
          </w:p>
        </w:tc>
        <w:tc>
          <w:tcPr>
            <w:tcW w:type="dxa" w:w="19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Doação</w:t>
            </w:r>
          </w:p>
        </w:tc>
        <w:tc>
          <w:tcPr>
            <w:tcW w:type="dxa" w:w="19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Consumo</w:t>
            </w:r>
          </w:p>
        </w:tc>
        <w:tc>
          <w:tcPr>
            <w:tcW w:type="dxa" w:w="19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Saldo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Fevereiro (Carnaval)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1070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1250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8E1B32"/>
                <w:sz w:val="21"/>
                <w:szCs w:val="21"/>
              </w:rPr>
              <w:t xml:space="preserve">−180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Abril (mês calmo)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1230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1120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2E5E6B"/>
                <w:sz w:val="21"/>
                <w:szCs w:val="21"/>
              </w:rPr>
              <w:t xml:space="preserve">+110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Semestre inteiro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7140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6780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2E5E6B"/>
                <w:sz w:val="21"/>
                <w:szCs w:val="21"/>
              </w:rPr>
              <w:t xml:space="preserve">+360</w:t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sz w:val="30"/>
          <w:szCs w:val="30"/>
        </w:rPr>
        <w:t xml:space="preserve">6. Discussão dos resultados</w:t>
      </w:r>
    </w:p>
    <w:p>
      <w:pPr>
        <w:spacing w:after="140" w:before="0" w:line="300"/>
      </w:pPr>
      <w:r>
        <w:rPr>
          <w:sz w:val="22"/>
          <w:szCs w:val="22"/>
        </w:rPr>
        <w:t xml:space="preserve">O semestre fecha positivo, com folga de 360 bolsas, o que transmite a falsa impressão de que o estoque está confortável. Fevereiro, no entanto, perde 180 bolsas, e um paciente que necessita de sangue O negativo no sábado de Carnaval não é socorrido pelo excedente acumulado em abril.</w:t>
      </w:r>
    </w:p>
    <w:p>
      <w:pPr>
        <w:spacing w:after="140" w:before="0" w:line="300"/>
      </w:pPr>
      <w:r>
        <w:rPr>
          <w:sz w:val="22"/>
          <w:szCs w:val="22"/>
        </w:rPr>
        <w:t xml:space="preserve">A conclusão do trabalho é que o planejamento de captação precisa ser feito sobre a integral de cada mês, e não sobre a integral do período inteiro. O agregado semestral esconde exatamente o intervalo mais crítico.</w:t>
      </w:r>
    </w:p>
    <w:p>
      <w:pPr>
        <w:pStyle w:val="Heading1"/>
        <w:spacing w:after="140" w:before="300"/>
      </w:pPr>
      <w:r>
        <w:rPr>
          <w:b/>
          <w:bCs/>
          <w:sz w:val="30"/>
          <w:szCs w:val="30"/>
        </w:rPr>
        <w:t xml:space="preserve">7. Verificação computacional</w:t>
      </w:r>
    </w:p>
    <w:p>
      <w:pPr>
        <w:spacing w:after="140" w:before="0" w:line="300"/>
      </w:pPr>
      <w:r>
        <w:rPr>
          <w:sz w:val="22"/>
          <w:szCs w:val="22"/>
        </w:rPr>
        <w:t xml:space="preserve">A resolução analítica foi conferida por três métodos numéricos implementados em Python, com n = 12 subintervalos no semestre: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1900"/>
      </w:tblGrid>
      <w:tr>
        <w:trPr>
          <w:tblHeader/>
        </w:trPr>
        <w:tc>
          <w:tcPr>
            <w:tcW w:type="dxa" w:w="32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Método</w:t>
            </w:r>
          </w:p>
        </w:tc>
        <w:tc>
          <w:tcPr>
            <w:tcW w:type="dxa" w:w="19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Resultado</w:t>
            </w:r>
          </w:p>
        </w:tc>
        <w:tc>
          <w:tcPr>
            <w:tcW w:type="dxa" w:w="19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Erro absoluto</w:t>
            </w:r>
          </w:p>
        </w:tc>
        <w:tc>
          <w:tcPr>
            <w:tcW w:type="dxa" w:w="1900"/>
            <w:shd w:fill="EDF1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Primitiva exata (SymPy)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360,0000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referência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Riemann à esquerda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240,0000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120,0000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erra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Regra do trapézio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360,0000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0,0000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exata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21"/>
                <w:szCs w:val="21"/>
              </w:rPr>
              <w:t xml:space="preserve">Regra de Simpson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360,0000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0,0000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sz w:val="21"/>
                <w:szCs w:val="21"/>
              </w:rPr>
              <w:t xml:space="preserve">exata</w:t>
            </w:r>
          </w:p>
        </w:tc>
      </w:tr>
    </w:tbl>
    <w:p>
      <w:pPr>
        <w:spacing w:after="140" w:before="160" w:line="300"/>
      </w:pPr>
      <w:r>
        <w:rPr>
          <w:sz w:val="22"/>
          <w:szCs w:val="22"/>
        </w:rPr>
        <w:t xml:space="preserve">O trapézio e o método de Simpson recuperam o valor exato, e isso não é coincidência. A regra do trapézio aproxima cada fatia por um segmento de reta, e as funções deste modelo são retas: a aproximação coincide com o original. A regra de Simpson é exata para polinômios até o terceiro grau, de modo que também acerta.</w:t>
      </w:r>
    </w:p>
    <w:p>
      <w:pPr>
        <w:spacing w:after="140" w:before="0" w:line="300"/>
      </w:pPr>
      <w:r>
        <w:rPr>
          <w:sz w:val="22"/>
          <w:szCs w:val="22"/>
        </w:rPr>
        <w:t xml:space="preserve">A soma de Riemann à esquerda é a única que produz erro, porque um retângulo não acompanha uma reta inclinada. Esse erro decresce à medida que n aumenta, o que pode ser demonstrado na aplicação.</w:t>
      </w:r>
    </w:p>
    <w:p>
      <w:pPr>
        <w:pStyle w:val="Heading1"/>
        <w:spacing w:after="140" w:before="300"/>
      </w:pPr>
      <w:r>
        <w:rPr>
          <w:b/>
          <w:bCs/>
          <w:sz w:val="30"/>
          <w:szCs w:val="30"/>
        </w:rPr>
        <w:t xml:space="preserve">8. Limitações do modelo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O modelo é contínuo, mas doação e consumo ocorrem em bolsas inteiras. A integral é uma aproximação útil, não um inventário.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Os coeficientes das retas foram estimados a partir da ordem de grandeza do Hemope, e não ajustados por regressão sobre séries históricas reais.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A fração de 4% de doadores O negativo é premissa, não dado oficial.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O modelo ignora o prazo de validade: hemácias duram cerca de 35 dias, de modo que parte do excedente de abril não chegaria a junho.</w:t>
      </w:r>
    </w:p>
    <w:p>
      <w:pPr>
        <w:pStyle w:val="Heading1"/>
        <w:spacing w:after="140" w:before="300"/>
      </w:pPr>
      <w:r>
        <w:rPr>
          <w:b/>
          <w:bCs/>
          <w:sz w:val="30"/>
          <w:szCs w:val="30"/>
        </w:rPr>
        <w:t xml:space="preserve">9. Referências</w:t>
      </w:r>
    </w:p>
    <w:p>
      <w:pPr>
        <w:spacing w:after="140" w:before="0" w:line="300"/>
      </w:pPr>
      <w:r>
        <w:rPr>
          <w:sz w:val="22"/>
          <w:szCs w:val="22"/>
        </w:rPr>
        <w:t xml:space="preserve">Fundação de Hematologia e Hemoterapia de Pernambuco (Hemope). Dados de produção anual de hemocomponentes.</w:t>
      </w:r>
    </w:p>
    <w:p>
      <w:pPr>
        <w:spacing w:after="140" w:before="0" w:line="300"/>
      </w:pPr>
      <w:r>
        <w:rPr>
          <w:sz w:val="22"/>
          <w:szCs w:val="22"/>
        </w:rPr>
        <w:t xml:space="preserve">STEWART, James. Cálculo, volume 1. Teorema Fundamental do Cálculo e aplicações da integral definida.</w:t>
      </w:r>
    </w:p>
    <w:sectPr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B5C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21D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5E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Variação do estoque de sangue O negativo</dc:title>
  <dc:creator>Vanessa da Silva Cavalcanti</dc:creator>
  <cp:lastModifiedBy>Un-named</cp:lastModifiedBy>
  <cp:revision>1</cp:revision>
  <dcterms:created xsi:type="dcterms:W3CDTF">2026-09-18T13:23:25.481Z</dcterms:created>
  <dcterms:modified xsi:type="dcterms:W3CDTF">2026-09-18T13:23:25.481Z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