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/>
        <w:keepLines/>
      </w:pPr>
      <w:r>
        <w:rPr>
          <w:rFonts w:ascii="Arial" w:hAnsi="Arial" w:eastAsia="Arial"/>
          <w:b/>
          <w:color w:val="2E74B5"/>
          <w:sz w:val="18"/>
        </w:rPr>
        <w:t>СТРАТЕГИЧЕСКАЯ ЗАПИСКА</w:t>
      </w:r>
    </w:p>
    <w:p>
      <w:pPr>
        <w:spacing w:before="60" w:after="80"/>
        <w:keepNext/>
        <w:keepLines/>
      </w:pPr>
      <w:r>
        <w:rPr>
          <w:rFonts w:ascii="Arial" w:hAnsi="Arial" w:eastAsia="Arial"/>
          <w:b/>
          <w:color w:val="0B2545"/>
          <w:sz w:val="44"/>
        </w:rPr>
        <w:t>Независимая AI-платформа анализа заявок и формирования коммерческих предложений</w:t>
      </w:r>
    </w:p>
    <w:p>
      <w:pPr>
        <w:spacing w:after="200"/>
        <w:keepLines/>
      </w:pPr>
      <w:r>
        <w:rPr>
          <w:rFonts w:ascii="Arial" w:hAnsi="Arial" w:eastAsia="Arial"/>
          <w:b w:val="0"/>
          <w:color w:val="5F6B76"/>
          <w:sz w:val="23"/>
        </w:rPr>
        <w:t>Первый прикладной контур: извлечение требований, классификация решения, подготовка описания и визуальной обложки КП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Arial"/>
                <w:b/>
                <w:color w:val="5F6B76"/>
                <w:sz w:val="17"/>
              </w:rPr>
              <w:t>Статус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20252B"/>
                <w:sz w:val="18"/>
              </w:rPr>
              <w:t>Концепция для управленческого решения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Arial"/>
                <w:b/>
                <w:color w:val="5F6B76"/>
                <w:sz w:val="17"/>
              </w:rPr>
              <w:t>Предмет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B2545"/>
                <w:sz w:val="18"/>
              </w:rPr>
              <w:t>Создание самостоятельного корпоративного AI-контура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Arial"/>
                <w:b/>
                <w:color w:val="5F6B76"/>
                <w:sz w:val="17"/>
              </w:rPr>
              <w:t>Горизонт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20252B"/>
                <w:sz w:val="18"/>
              </w:rPr>
              <w:t>Пилот 5-7 месяцев; промышленное внедрение 8-12 месяцев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Arial"/>
                <w:b/>
                <w:color w:val="5F6B76"/>
                <w:sz w:val="17"/>
              </w:rPr>
              <w:t>Дата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20252B"/>
                <w:sz w:val="18"/>
              </w:rPr>
              <w:t>28 августа 2026 г.</w:t>
            </w:r>
          </w:p>
        </w:tc>
      </w:tr>
    </w:tbl>
    <w:p>
      <w:pPr>
        <w:spacing w:after="0"/>
        <w:keepLines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600"/>
      </w:tblGrid>
      <w:tr>
        <w:trPr>
          <w:tblHeader w:val="true"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0"/>
          </w:tcPr>
          <w:p>
            <w:pPr>
              <w:pStyle w:val="TableHead"/>
              <w:keepLines/>
            </w:pPr>
            <w:r>
              <w:rPr>
                <w:rFonts w:ascii="Arial" w:hAnsi="Arial" w:eastAsia="Arial"/>
                <w:b/>
                <w:color w:val="176B4D"/>
                <w:sz w:val="16"/>
              </w:rPr>
              <w:t>РЕЗЮМЕ</w:t>
            </w:r>
          </w:p>
        </w:tc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0"/>
          </w:tcPr>
          <w:p>
            <w:pPr>
              <w:pStyle w:val="TableText"/>
              <w:keepLines/>
            </w:pPr>
            <w:r>
              <w:rPr>
                <w:rFonts w:ascii="Arial" w:hAnsi="Arial" w:eastAsia="Arial"/>
                <w:b/>
                <w:color w:val="0B2545"/>
                <w:sz w:val="19"/>
              </w:rPr>
              <w:t>Предлагается не отдельная функция PDF-конструктора, а независимая платформа, которая превращает неструктурированные письма и файлы в проверяемую цифровую модель заявки. Обложка и описание КП являются первым измеримым сценарием, а созданный контур затем может использоваться в подборе замен, технической поддержке, корпоративном поиске и обработке проектной документации.</w:t>
            </w:r>
          </w:p>
        </w:tc>
      </w:tr>
    </w:tbl>
    <w:p>
      <w:pPr>
        <w:spacing w:after="0"/>
        <w:keepLines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I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0B2545"/>
                <w:sz w:val="25"/>
              </w:rPr>
              <w:t>СУТЬ РЕШЕНИЯ И ЦЕННОСТЬ ДЛЯ КОМПАНИИ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</w:pPr>
      <w:r>
        <w:t>1. Что именно предлагается</w:t>
      </w:r>
    </w:p>
    <w:p>
      <w:pPr>
        <w:keepLines/>
      </w:pPr>
      <w:r>
        <w:rPr>
          <w:rFonts w:ascii="Arial" w:hAnsi="Arial" w:eastAsia="Arial"/>
          <w:color w:val="20252B"/>
          <w:sz w:val="20"/>
        </w:rPr>
        <w:t>Создать локально разворачиваемую AI-платформу, которая принимает почтовую переписку, документы и чертежи, извлекает из них факты, определяет вероятное назначение системы, формирует проект описания и готовит визуальный материал для КП. Решение является самостоятельным: оно содержит собственные механизмы классификации, поиска, ранжирования и проверки и не зависит от каких-либо других нереализованных вариантов автоматизации.</w:t>
      </w:r>
    </w:p>
    <w:p>
      <w:pPr>
        <w:keepLines/>
      </w:pPr>
      <w:r>
        <w:rPr>
          <w:rFonts w:ascii="Arial" w:hAnsi="Arial" w:eastAsia="Arial"/>
          <w:color w:val="20252B"/>
          <w:sz w:val="20"/>
        </w:rPr>
        <w:t>Платформа не подменяет инженерное решение. Она собирает и структурирует доступные факты, показывает источники каждого вывода, оценивает уверенность и передаёт человеку случаи, в которых исходных данных недостаточно.</w:t>
      </w:r>
    </w:p>
    <w:p>
      <w:pPr>
        <w:pStyle w:val="Heading1"/>
        <w:keepNext/>
      </w:pPr>
      <w:r>
        <w:t>2. Почему это стратегический проект, а не генератор текста</w:t>
      </w:r>
    </w:p>
    <w:p>
      <w:pPr>
        <w:pStyle w:val="ListBullet"/>
        <w:keepLines/>
      </w:pPr>
      <w:r>
        <w:rPr>
          <w:rFonts w:ascii="Arial" w:hAnsi="Arial" w:eastAsia="Arial"/>
          <w:color w:val="20252B"/>
          <w:sz w:val="20"/>
        </w:rPr>
        <w:t>Компания получает единый слой работы с неструктурированными данными: письмами, сканами, PDF, таблицами, изображениями и CAD-файлами.</w:t>
      </w:r>
    </w:p>
    <w:p>
      <w:pPr>
        <w:pStyle w:val="ListBullet"/>
        <w:keepLines/>
      </w:pPr>
      <w:r>
        <w:rPr>
          <w:rFonts w:ascii="Arial" w:hAnsi="Arial" w:eastAsia="Arial"/>
          <w:color w:val="20252B"/>
          <w:sz w:val="20"/>
        </w:rPr>
        <w:t>Корпоративные знания перестают оставаться только в переписке и опыте отдельных сотрудников: факты, решения и исправления превращаются в повторно используемые данные.</w:t>
      </w:r>
    </w:p>
    <w:p>
      <w:pPr>
        <w:pStyle w:val="ListBullet"/>
        <w:keepLines/>
      </w:pPr>
      <w:r>
        <w:rPr>
          <w:rFonts w:ascii="Arial" w:hAnsi="Arial" w:eastAsia="Arial"/>
          <w:color w:val="20252B"/>
          <w:sz w:val="20"/>
        </w:rPr>
        <w:t>Каждое подтверждение или исправление менеджера и инженера улучшает качество будущих результатов и формирует собственный датасет компании.</w:t>
      </w:r>
    </w:p>
    <w:p>
      <w:pPr>
        <w:pStyle w:val="ListBullet"/>
        <w:keepLines/>
      </w:pPr>
      <w:r>
        <w:rPr>
          <w:rFonts w:ascii="Arial" w:hAnsi="Arial" w:eastAsia="Arial"/>
          <w:color w:val="20252B"/>
          <w:sz w:val="20"/>
        </w:rPr>
        <w:t>Архитектура допускает локальное размещение моделей и данных, что снижает зависимость от внешних AI-сервисов и позволяет контролировать конфиденциальность.</w:t>
      </w:r>
    </w:p>
    <w:p>
      <w:pPr>
        <w:pStyle w:val="ListBullet"/>
        <w:keepLines/>
      </w:pPr>
      <w:r>
        <w:rPr>
          <w:rFonts w:ascii="Arial" w:hAnsi="Arial" w:eastAsia="Arial"/>
          <w:color w:val="20252B"/>
          <w:sz w:val="20"/>
        </w:rPr>
        <w:t>Созданные сервисы повторно применяются за пределами КП: поиск аналогов, подбор замен, разбор ТЗ, нормализация спецификаций, подготовка ответов и внутренний ассистент.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600"/>
      </w:tblGrid>
      <w:tr>
        <w:trPr>
          <w:tblHeader w:val="true"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"/>
              <w:keepLines/>
            </w:pPr>
            <w:r>
              <w:rPr>
                <w:rFonts w:ascii="Arial" w:hAnsi="Arial" w:eastAsia="Arial"/>
                <w:b/>
                <w:color w:val="1F4D78"/>
                <w:sz w:val="16"/>
              </w:rPr>
              <w:t>КЛЮЧЕВАЯ ИДЕЯ</w:t>
            </w:r>
          </w:p>
        </w:tc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keepLines/>
            </w:pPr>
            <w:r>
              <w:rPr>
                <w:rFonts w:ascii="Arial" w:hAnsi="Arial" w:eastAsia="Arial"/>
                <w:b/>
                <w:color w:val="0B2545"/>
                <w:sz w:val="19"/>
              </w:rPr>
              <w:t>Компания инвестирует не в одну картинку на первой странице, а в управляемую способность понимать собственный поток технической информации и использовать его в операционных процессах.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</w:pPr>
      <w:r>
        <w:t>3. Рабочий сценарий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"/>
            </w:pPr>
            <w:r>
              <w:rPr>
                <w:rFonts w:ascii="Arial" w:hAnsi="Arial" w:eastAsia="Arial"/>
                <w:b/>
                <w:color w:val="0B2545"/>
                <w:sz w:val="17"/>
              </w:rPr>
              <w:t>Этап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"/>
            </w:pPr>
            <w:r>
              <w:rPr>
                <w:rFonts w:ascii="Arial" w:hAnsi="Arial" w:eastAsia="Arial"/>
                <w:b/>
                <w:color w:val="0B2545"/>
                <w:sz w:val="17"/>
              </w:rPr>
              <w:t>Результат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7"/>
              </w:rPr>
              <w:t>1. Приём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7"/>
              </w:rPr>
              <w:t>Письмо, вложения, выгрузка из CRM или ручная загрузка объединяются в одну заявку.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7"/>
              </w:rPr>
              <w:t>2. Разбор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7"/>
              </w:rPr>
              <w:t>Текст, таблицы, изображения, реквизиты и элементы чертежей извлекаются в единый JSON-профиль.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7"/>
              </w:rPr>
              <w:t>3. Понимание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7"/>
              </w:rPr>
              <w:t>Модели определяют сущности, оборудование, ограничения, назначение системы и недостающие сведения.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7"/>
              </w:rPr>
              <w:t>4. Подготовка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7"/>
              </w:rPr>
              <w:t>Формируются описание, аргументация, черновик визуальной композиции и ссылки на исходные факты.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7"/>
              </w:rPr>
              <w:t>5. Контроль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7"/>
              </w:rPr>
              <w:t>Верификатор проверяет бренды, модели, характеристики и уверенность; спорные случаи направляются человеку.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7"/>
              </w:rPr>
              <w:t>6. Публикация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7"/>
              </w:rPr>
              <w:t>Подтверждённые данные передаются в PDF-конструктор и сохраняются как обучающий пример.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</w:pPr>
      <w:r>
        <w:t>4. Границы автоматизации</w:t>
      </w:r>
    </w:p>
    <w:p>
      <w:pPr>
        <w:keepLines/>
      </w:pPr>
      <w:r>
        <w:rPr>
          <w:rFonts w:ascii="Arial" w:hAnsi="Arial" w:eastAsia="Arial"/>
          <w:color w:val="20252B"/>
          <w:sz w:val="20"/>
        </w:rPr>
        <w:t>Нейросеть не должна реконструировать отсутствующее техническое задание. Если система не находит достаточных оснований для вывода, она обязана сформировать список уточнений и остановить автоматическую публикацию. Такой режим принципиально важен: доверие к платформе создаётся не количеством автоматически обработанных заявок, а контролируемой долей корректных решений.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"/>
            </w:pPr>
            <w:r>
              <w:rPr>
                <w:rFonts w:ascii="Arial" w:hAnsi="Arial" w:eastAsia="Arial"/>
                <w:b/>
                <w:color w:val="0B2545"/>
                <w:sz w:val="17"/>
              </w:rPr>
              <w:t>Контур</w:t>
            </w:r>
          </w:p>
        </w:tc>
        <w:tc>
          <w:tcPr>
            <w:tcW w:type="dxa" w:w="6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"/>
            </w:pPr>
            <w:r>
              <w:rPr>
                <w:rFonts w:ascii="Arial" w:hAnsi="Arial" w:eastAsia="Arial"/>
                <w:b/>
                <w:color w:val="0B2545"/>
                <w:sz w:val="17"/>
              </w:rPr>
              <w:t>Правило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7"/>
              </w:rPr>
              <w:t>Можно автоматизировать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7"/>
              </w:rPr>
              <w:t>Извлечение данных, поиск по базе, классификацию, черновики текста, сборку композиции, контроль формальных ошибок.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7"/>
              </w:rPr>
              <w:t>Нельзя автоматизировать вслепую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7"/>
              </w:rPr>
              <w:t>Выбор назначения при отсутствии признаков, инженерные допущения, подмену неизвестных характеристик, финальное утверждение критичных решений.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</w:pPr>
      <w:r>
        <w:t>5. Практический результат первого контура</w:t>
      </w:r>
    </w:p>
    <w:p>
      <w:pPr>
        <w:pStyle w:val="ListBullet"/>
        <w:keepLines/>
      </w:pPr>
      <w:r>
        <w:rPr>
          <w:rFonts w:ascii="Arial" w:hAnsi="Arial" w:eastAsia="Arial"/>
          <w:color w:val="20252B"/>
          <w:sz w:val="20"/>
        </w:rPr>
        <w:t>структурированная карточка заявки с источниками и уровнем уверенности;</w:t>
      </w:r>
    </w:p>
    <w:p>
      <w:pPr>
        <w:pStyle w:val="ListBullet"/>
        <w:keepLines/>
      </w:pPr>
      <w:r>
        <w:rPr>
          <w:rFonts w:ascii="Arial" w:hAnsi="Arial" w:eastAsia="Arial"/>
          <w:color w:val="20252B"/>
          <w:sz w:val="20"/>
        </w:rPr>
        <w:t>предварительная классификация назначения системы;</w:t>
      </w:r>
    </w:p>
    <w:p>
      <w:pPr>
        <w:pStyle w:val="ListBullet"/>
        <w:keepLines/>
      </w:pPr>
      <w:r>
        <w:rPr>
          <w:rFonts w:ascii="Arial" w:hAnsi="Arial" w:eastAsia="Arial"/>
          <w:color w:val="20252B"/>
          <w:sz w:val="20"/>
        </w:rPr>
        <w:t>редактируемое описание решения без неподтверждённых характеристик;</w:t>
      </w:r>
    </w:p>
    <w:p>
      <w:pPr>
        <w:pStyle w:val="ListBullet"/>
        <w:keepLines/>
      </w:pPr>
      <w:r>
        <w:rPr>
          <w:rFonts w:ascii="Arial" w:hAnsi="Arial" w:eastAsia="Arial"/>
          <w:color w:val="20252B"/>
          <w:sz w:val="20"/>
        </w:rPr>
        <w:t>обложка из реальных фотографий оборудования с управляемой композицией;</w:t>
      </w:r>
    </w:p>
    <w:p>
      <w:pPr>
        <w:pStyle w:val="ListBullet"/>
        <w:keepLines/>
      </w:pPr>
      <w:r>
        <w:rPr>
          <w:rFonts w:ascii="Arial" w:hAnsi="Arial" w:eastAsia="Arial"/>
          <w:color w:val="20252B"/>
          <w:sz w:val="20"/>
        </w:rPr>
        <w:t>список отсутствующих данных и вопросов инженеру;</w:t>
      </w:r>
    </w:p>
    <w:p>
      <w:pPr>
        <w:pStyle w:val="ListBullet"/>
        <w:keepLines/>
      </w:pPr>
      <w:r>
        <w:rPr>
          <w:rFonts w:ascii="Arial" w:hAnsi="Arial" w:eastAsia="Arial"/>
          <w:color w:val="20252B"/>
          <w:sz w:val="20"/>
        </w:rPr>
        <w:t>журнал решения: какие модели, правила и источники повлияли на результат.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600"/>
      </w:tblGrid>
      <w:tr>
        <w:trPr>
          <w:tblHeader w:val="true"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3"/>
          </w:tcPr>
          <w:p>
            <w:pPr>
              <w:pStyle w:val="TableHead"/>
              <w:keepLines/>
            </w:pPr>
            <w:r>
              <w:rPr>
                <w:rFonts w:ascii="Arial" w:hAnsi="Arial" w:eastAsia="Arial"/>
                <w:b/>
                <w:color w:val="7A5A00"/>
                <w:sz w:val="16"/>
              </w:rPr>
              <w:t>МЕТРИКА УСПЕХА</w:t>
            </w:r>
          </w:p>
        </w:tc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3"/>
          </w:tcPr>
          <w:p>
            <w:pPr>
              <w:pStyle w:val="TableText"/>
              <w:keepLines/>
            </w:pPr>
            <w:r>
              <w:rPr>
                <w:rFonts w:ascii="Arial" w:hAnsi="Arial" w:eastAsia="Arial"/>
                <w:b/>
                <w:color w:val="0B2545"/>
                <w:sz w:val="19"/>
              </w:rPr>
              <w:t>На пилоте оцениваются не субъективные впечатления, а точность извлечения, точность классификации, доля заявок без ручного пересбора, время подготовки КП и количество фактических ошибок после проверки.</w:t>
            </w:r>
          </w:p>
        </w:tc>
      </w:tr>
    </w:tbl>
    <w:p>
      <w:pPr>
        <w:spacing w:after="0"/>
        <w:keepLines/>
      </w:pPr>
    </w:p>
    <w:p>
      <w:pPr>
        <w:keepLines/>
      </w:pPr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II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0B2545"/>
                <w:sz w:val="25"/>
              </w:rPr>
              <w:t>ТЕХНИЧЕСКИЙ ПЛАН РЕАЛИЗАЦИИ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</w:pPr>
      <w:r>
        <w:t>6. Архитектурный принцип</w:t>
      </w:r>
    </w:p>
    <w:p>
      <w:pPr>
        <w:keepLines/>
      </w:pPr>
      <w:r>
        <w:rPr>
          <w:rFonts w:ascii="Arial" w:hAnsi="Arial" w:eastAsia="Arial"/>
          <w:color w:val="20252B"/>
          <w:sz w:val="20"/>
        </w:rPr>
        <w:t>Оркестратором не должна быть одна большая модель. Производственный контур строится как граф небольших, наблюдаемых операций. Детерминированные сервисы выполняют преобразование файлов и проверку правил; специализированные модели решают OCR, поиск, классификацию и генерацию; состояние каждой заявки сохраняется между шагами.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2500"/>
        <w:gridCol w:w="6260"/>
      </w:tblGrid>
      <w:tr>
        <w:trPr>
          <w:tblHeader w:val="true"/>
        </w:trPr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"/>
            </w:pPr>
            <w:r>
              <w:rPr>
                <w:rFonts w:ascii="Arial" w:hAnsi="Arial" w:eastAsia="Arial"/>
                <w:b/>
                <w:color w:val="0B2545"/>
                <w:sz w:val="16"/>
              </w:rPr>
              <w:t>№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"/>
            </w:pPr>
            <w:r>
              <w:rPr>
                <w:rFonts w:ascii="Arial" w:hAnsi="Arial" w:eastAsia="Arial"/>
                <w:b/>
                <w:color w:val="0B2545"/>
                <w:sz w:val="16"/>
              </w:rPr>
              <w:t>Компонент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"/>
            </w:pPr>
            <w:r>
              <w:rPr>
                <w:rFonts w:ascii="Arial" w:hAnsi="Arial" w:eastAsia="Arial"/>
                <w:b/>
                <w:color w:val="0B2545"/>
                <w:sz w:val="16"/>
              </w:rPr>
              <w:t>Назначение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Шлюз входящих данных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Почта/CRM/API, антивирусная проверка, контроль форматов и прав доступа.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Хранилище исходников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S3/MinIO для файлов; PostgreSQL для метаданных, статусов и аудита.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Конвейер извлечения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OCR, layout-анализ, таблицы, изображения, DWG/DXF и нормализация.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Каноническая модель заявки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Единый JSON: объект, контекст, оборудование, ограничения, источники и пробелы.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RAG и классификация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Поиск по каталогу/архиву, сопоставление сущностей, назначение и confidence.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Генераторы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Текст, объяснение решения, визуальная композиция; реальные фото сохраняются без перерисовки.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Верификатор и человек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Проверка фактов, пороги, согласование, корректировка и обратная связь.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Интеграционный API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Передача подтверждённой структуры в PDF-конструктор и другие системы.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</w:pPr>
      <w:r>
        <w:t>7. Кто оркестрирует модели и сервисы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300"/>
        <w:gridCol w:w="53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"/>
            </w:pPr>
            <w:r>
              <w:rPr>
                <w:rFonts w:ascii="Arial" w:hAnsi="Arial" w:eastAsia="Arial"/>
                <w:b/>
                <w:color w:val="0B2545"/>
                <w:sz w:val="16"/>
              </w:rPr>
              <w:t>Слой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"/>
            </w:pPr>
            <w:r>
              <w:rPr>
                <w:rFonts w:ascii="Arial" w:hAnsi="Arial" w:eastAsia="Arial"/>
                <w:b/>
                <w:color w:val="0B2545"/>
                <w:sz w:val="16"/>
              </w:rPr>
              <w:t>Что контролирует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"/>
            </w:pPr>
            <w:r>
              <w:rPr>
                <w:rFonts w:ascii="Arial" w:hAnsi="Arial" w:eastAsia="Arial"/>
                <w:b/>
                <w:color w:val="0B2545"/>
                <w:sz w:val="16"/>
              </w:rPr>
              <w:t>Почему нужен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Kubernetes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Контейнеры и ресурсы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Размещение сервисов, GPU/CPU-лимиты, перезапуск, масштабирование. Для пилота допустим Docker Compose.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Temporal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Долгий бизнес-процесс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Очереди, повторные попытки, тайм-ауты, идемпотентность, возобновление заявки после сбоя.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LangGraph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AI-граф внутри заявки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Маршрутизация агентных шагов, состояние, циклы проверки и human-in-the-loop.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vLLM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Сервер моделей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Единый API для LLM/VLM, очередь запросов, батчинг и контроль GPU-памяти.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FastAPI workers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Инструменты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OCR, CAD, каталог, правила, рендеринг, файловые операции и интеграции.</w:t>
            </w:r>
          </w:p>
        </w:tc>
      </w:tr>
    </w:tbl>
    <w:p>
      <w:pPr>
        <w:spacing w:after="0"/>
        <w:keepLines/>
      </w:pPr>
    </w:p>
    <w:p>
      <w:pPr>
        <w:pStyle w:val="SmallNote"/>
        <w:keepLines/>
      </w:pPr>
      <w:r>
        <w:rPr>
          <w:rFonts w:ascii="Arial" w:hAnsi="Arial" w:eastAsia="Arial"/>
          <w:color w:val="20252B"/>
          <w:sz w:val="20"/>
        </w:rPr>
        <w:t>Такое разделение исключает ситуацию, в которой языковая модель самостоятельно управляет инфраструктурой. Модель предлагает следующий шаг и структурированный результат; инфраструктурный оркестратор решает, когда и где этот шаг выполнить, а правила безопасности определяют, требуется ли подтверждение человека.</w:t>
      </w:r>
    </w:p>
    <w:p>
      <w:pPr>
        <w:pStyle w:val="Heading1"/>
        <w:keepNext/>
      </w:pPr>
      <w:r>
        <w:t>8. Состав специализированных агентов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"/>
            </w:pPr>
            <w:r>
              <w:rPr>
                <w:rFonts w:ascii="Arial" w:hAnsi="Arial" w:eastAsia="Arial"/>
                <w:b/>
                <w:color w:val="0B2545"/>
                <w:sz w:val="16"/>
              </w:rPr>
              <w:t>Агент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"/>
            </w:pPr>
            <w:r>
              <w:rPr>
                <w:rFonts w:ascii="Arial" w:hAnsi="Arial" w:eastAsia="Arial"/>
                <w:b/>
                <w:color w:val="0B2545"/>
                <w:sz w:val="16"/>
              </w:rPr>
              <w:t>Ограниченная ответственность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Intake Agent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Собирает письмо и вложения, определяет типы файлов, создаёт паспорт заявки.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Document Agent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Запускает OCR/layout, извлекает таблицы и сохраняет координаты источников.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CAD Agent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Конвертирует DWG, анализирует слои, блоки, подписи и геометрию.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Entity Agent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Нормализует бренды и модели, связывает позиции с каталогом и аналогами.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Context Agent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Выделяет назначение, ограничения, зоны, сценарии и противоречия.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Classification Agent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Возвращает классы, вероятности, объяснение и признаки, повлиявшие на решение.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Gap Agent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Находит недостающие сведения и формирует конкретные вопросы.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Composer Agent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Готовит описание системы только на подтверждённых фактах и RAG-контексте.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Visual Agent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Собирает коллаж из реальных фото, генерируя только фон, свет и композиционную среду.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Verifier Agent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Сверяет модели, бренды, цифры, запрещённые утверждения и порог уверенности.</w:t>
            </w:r>
          </w:p>
        </w:tc>
      </w:tr>
    </w:tbl>
    <w:p>
      <w:pPr>
        <w:spacing w:after="0"/>
        <w:keepLines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600"/>
      </w:tblGrid>
      <w:tr>
        <w:trPr>
          <w:tblHeader w:val="true"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Head"/>
              <w:keepLines/>
            </w:pPr>
            <w:r>
              <w:rPr>
                <w:rFonts w:ascii="Arial" w:hAnsi="Arial" w:eastAsia="Arial"/>
                <w:b/>
                <w:color w:val="1F4D78"/>
                <w:sz w:val="16"/>
              </w:rPr>
              <w:t>ВАЖНО</w:t>
            </w:r>
          </w:p>
        </w:tc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keepLines/>
            </w:pPr>
            <w:r>
              <w:rPr>
                <w:rFonts w:ascii="Arial" w:hAnsi="Arial" w:eastAsia="Arial"/>
                <w:b/>
                <w:color w:val="0B2545"/>
                <w:sz w:val="19"/>
              </w:rPr>
              <w:t>Под «агентом» понимается не автономный цифровой сотрудник, а ограниченный программный узел с заданной схемой входа/выхода, набором разрешённых инструментов, журналированием и тестами качества.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</w:pPr>
      <w:r>
        <w:t>9. Рекомендуемые модели и планирование памяти</w:t>
      </w:r>
    </w:p>
    <w:p>
      <w:pPr>
        <w:pStyle w:val="SmallNote"/>
        <w:keepLines/>
      </w:pPr>
      <w:r>
        <w:rPr>
          <w:rFonts w:ascii="Arial" w:hAnsi="Arial" w:eastAsia="Arial"/>
          <w:color w:val="20252B"/>
          <w:sz w:val="20"/>
        </w:rPr>
        <w:t>Значения ниже являются инженерным резервом для пилотного проектирования, а не паспортными гарантиями. Фактическое потребление зависит от квантизации, длины контекста, размера изображений, числа одновременных запросов и параметров KV-кэша.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2860"/>
        <w:gridCol w:w="240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"/>
            </w:pPr>
            <w:r>
              <w:rPr>
                <w:rFonts w:ascii="Arial" w:hAnsi="Arial" w:eastAsia="Arial"/>
                <w:b/>
                <w:color w:val="0B2545"/>
                <w:sz w:val="15"/>
              </w:rPr>
              <w:t>Задача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"/>
            </w:pPr>
            <w:r>
              <w:rPr>
                <w:rFonts w:ascii="Arial" w:hAnsi="Arial" w:eastAsia="Arial"/>
                <w:b/>
                <w:color w:val="0B2545"/>
                <w:sz w:val="15"/>
              </w:rPr>
              <w:t>Компонент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"/>
            </w:pPr>
            <w:r>
              <w:rPr>
                <w:rFonts w:ascii="Arial" w:hAnsi="Arial" w:eastAsia="Arial"/>
                <w:b/>
                <w:color w:val="0B2545"/>
                <w:sz w:val="15"/>
              </w:rPr>
              <w:t>Роль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"/>
            </w:pPr>
            <w:r>
              <w:rPr>
                <w:rFonts w:ascii="Arial" w:hAnsi="Arial" w:eastAsia="Arial"/>
                <w:b/>
                <w:color w:val="0B2545"/>
                <w:sz w:val="15"/>
              </w:rPr>
              <w:t>Плановый ресурс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Документы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PaddleOCR-VL 1.6 (0,9B)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OCR, layout, таблицы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4-8 ГБ VRAM; 8-16 ГБ RAM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Мультимодальный анализ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Qwen3-VL-8B Instruct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Письма + страницы + изображения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16-24 ГБ VRAM; 16-32 ГБ RAM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Текст и рассуждение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Qwen3-14B / 30B-A3B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Структура, описание, классификация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18-28 / 28-48 ГБ VRAM в квантизации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Корпоративный поиск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BGE-M3 (569M)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Мультиязычные embeddings, hybrid retrieval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2-4 ГБ VRAM или 6-12 ГБ RAM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Символы и объекты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Grounding DINO + дообученный detector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Обозначения на схемах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3-8 ГБ VRAM; 8-16 ГБ RAM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Визуальная сборка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ComfyUI + FLUX/Qwen Image Edit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Фон, свет, тени, композиция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20-32 ГБ VRAM inference; 24-48 ГБ train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CAD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ODA Converter + ezdxf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DWG/DXF, слои, блоки, геометрия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CPU; 4-16 ГБ RAM на задание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Сервисы данных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PostgreSQL/pgvector + MinIO + Redis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Метаданные, векторы, файлы, кэш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5"/>
              </w:rPr>
              <w:t>24-48 ГБ RAM суммарно на пилоте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</w:pPr>
      <w:r>
        <w:t>10. Размещение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200"/>
        <w:gridCol w:w="45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"/>
            </w:pPr>
            <w:r>
              <w:rPr>
                <w:rFonts w:ascii="Arial" w:hAnsi="Arial" w:eastAsia="Arial"/>
                <w:b/>
                <w:color w:val="0B2545"/>
                <w:sz w:val="16"/>
              </w:rPr>
              <w:t>Контур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"/>
            </w:pPr>
            <w:r>
              <w:rPr>
                <w:rFonts w:ascii="Arial" w:hAnsi="Arial" w:eastAsia="Arial"/>
                <w:b/>
                <w:color w:val="0B2545"/>
                <w:sz w:val="16"/>
              </w:rPr>
              <w:t>Конфигурация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"/>
            </w:pPr>
            <w:r>
              <w:rPr>
                <w:rFonts w:ascii="Arial" w:hAnsi="Arial" w:eastAsia="Arial"/>
                <w:b/>
                <w:color w:val="0B2545"/>
                <w:sz w:val="16"/>
              </w:rPr>
              <w:t>Назначение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Пилот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1× RTX 5090 32 ГБ, 128 ГБ RAM, 4 ТБ NVMe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Модели запускаются очередями; тяжёлая генерация не работает одновременно с VLM. Подходит для проверки качества и сбора профиля нагрузки.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Производственная станция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1× RTX PRO 6000 96 ГБ, 256 ГБ ECC RAM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Одновременная работа нескольких сервисов, крупные модели, длинный контекст и эксплуатационный запас.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Масштабирование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2× RTX PRO 6000, 512 ГБ RAM, отдельное объектное хранилище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Разделение анализа документов и генерации, параллельные заявки, обучение и отказоустойчивость.</w:t>
            </w:r>
          </w:p>
        </w:tc>
      </w:tr>
    </w:tbl>
    <w:p>
      <w:pPr>
        <w:spacing w:after="0"/>
        <w:keepLines/>
      </w:pPr>
    </w:p>
    <w:p>
      <w:pPr>
        <w:pStyle w:val="SmallNote"/>
        <w:keepLines/>
      </w:pPr>
      <w:r>
        <w:rPr>
          <w:rFonts w:ascii="Arial" w:hAnsi="Arial" w:eastAsia="Arial"/>
          <w:color w:val="20252B"/>
          <w:sz w:val="20"/>
        </w:rPr>
        <w:t>Рекомендуемая операционная система: Ubuntu Server LTS, NVIDIA Container Toolkit и контейнеризация. Windows может использоваться на рабочих местах и для отдельных CAD-конвертеров, но центральный AI-контур целесообразно размещать на Linux из-за поддержки CUDA, vLLM и производственных средств мониторинга.</w:t>
      </w:r>
    </w:p>
    <w:p>
      <w:pPr>
        <w:pStyle w:val="Heading1"/>
        <w:keepNext/>
      </w:pPr>
      <w:r>
        <w:t>11. Этапы реализации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300"/>
        <w:gridCol w:w="59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"/>
            </w:pPr>
            <w:r>
              <w:rPr>
                <w:rFonts w:ascii="Arial" w:hAnsi="Arial" w:eastAsia="Arial"/>
                <w:b/>
                <w:color w:val="0B2545"/>
                <w:sz w:val="16"/>
              </w:rPr>
              <w:t>Этап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"/>
            </w:pPr>
            <w:r>
              <w:rPr>
                <w:rFonts w:ascii="Arial" w:hAnsi="Arial" w:eastAsia="Arial"/>
                <w:b/>
                <w:color w:val="0B2545"/>
                <w:sz w:val="16"/>
              </w:rPr>
              <w:t>Срок</w:t>
            </w:r>
          </w:p>
        </w:tc>
        <w:tc>
          <w:tcPr>
            <w:tcW w:type="dxa" w:w="5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"/>
            </w:pPr>
            <w:r>
              <w:rPr>
                <w:rFonts w:ascii="Arial" w:hAnsi="Arial" w:eastAsia="Arial"/>
                <w:b/>
                <w:color w:val="0B2545"/>
                <w:sz w:val="16"/>
              </w:rPr>
              <w:t>Проверяемый результат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0. Проектирование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2 недели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Архив данных, классы систем, KPI, безопасность, эталонный набор.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1. Data foundation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4-6 недель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Хранилище, паспорт заявки, коннекторы, OCR и журнал источников.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2. Понимание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4-6 недель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Нормализация оборудования, RAG, классификация, gap-анализ.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3. Генерация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6-8 недель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Тексты, visual pipeline, верификаторы и интеграция с PDF.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4. Закрытый пилот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4-6 недель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Историческая проверка, работа с группой менеджеров, настройка порогов.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5. Промышленный ввод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8-12 недель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Мониторинг, роли, SLA, резервирование, обучение и регламент.</w:t>
            </w:r>
          </w:p>
        </w:tc>
      </w:tr>
    </w:tbl>
    <w:p>
      <w:pPr>
        <w:spacing w:after="0"/>
        <w:keepLines/>
      </w:pPr>
    </w:p>
    <w:p>
      <w:pPr>
        <w:pStyle w:val="Lead"/>
        <w:keepLines/>
      </w:pPr>
      <w:r>
        <w:rPr>
          <w:rFonts w:ascii="Arial" w:hAnsi="Arial" w:eastAsia="Arial"/>
          <w:color w:val="20252B"/>
          <w:sz w:val="20"/>
        </w:rPr>
        <w:t>Этапы частично выполняются параллельно. Реалистичный горизонт промышленного пилота - 5-7 месяцев; устойчивый производственный контур - 8-12 месяцев при наличии доступа к истории заявок, каталогу и инженерным экспертам.</w:t>
      </w:r>
    </w:p>
    <w:p>
      <w:pPr>
        <w:pStyle w:val="Heading1"/>
        <w:keepNext/>
      </w:pPr>
      <w:r>
        <w:t>12. Команда и ответственность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00"/>
        <w:gridCol w:w="61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"/>
            </w:pPr>
            <w:r>
              <w:rPr>
                <w:rFonts w:ascii="Arial" w:hAnsi="Arial" w:eastAsia="Arial"/>
                <w:b/>
                <w:color w:val="0B2545"/>
                <w:sz w:val="16"/>
              </w:rPr>
              <w:t>Роль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"/>
            </w:pPr>
            <w:r>
              <w:rPr>
                <w:rFonts w:ascii="Arial" w:hAnsi="Arial" w:eastAsia="Arial"/>
                <w:b/>
                <w:color w:val="0B2545"/>
                <w:sz w:val="16"/>
              </w:rPr>
              <w:t>FTE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"/>
            </w:pPr>
            <w:r>
              <w:rPr>
                <w:rFonts w:ascii="Arial" w:hAnsi="Arial" w:eastAsia="Arial"/>
                <w:b/>
                <w:color w:val="0B2545"/>
                <w:sz w:val="16"/>
              </w:rPr>
              <w:t>Ответственность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Владелец продукта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1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Приоритеты, KPI, бюджет, принятие бизнес-результата.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Solution/AI architect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1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Архитектура, безопасность, контракты сервисов, технические решения.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ML engineers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2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VLM/LLM, RAG, классификация, evals, оптимизация inference.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Backend/data engineers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2-3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Коннекторы, хранилища, ETL, API, каталог и аудит.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Frontend engineer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1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Интерфейс проверки, источники, исправления и статусы.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DevOps/MLOps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1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GPU-контур, CI/CD, мониторинг, секреты, резервирование.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QA/evaluation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1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Тестовые наборы, регрессии, качество и приемочные отчёты.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Инженеры предметной области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0,5-1 совокупно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Таксономия, разметка, проверка и правила допустимости.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Дизайн/контент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по этапу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Arial" w:hAnsi="Arial" w:eastAsia="Arial"/>
                <w:b w:val="0"/>
                <w:color w:val="20252B"/>
                <w:sz w:val="16"/>
              </w:rPr>
              <w:t>Эталонные композиции, правила бренда и исходные изображения.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</w:pPr>
      <w:r>
        <w:t>13. Контроль качества, безопасность и эксплуатация</w:t>
      </w:r>
    </w:p>
    <w:p>
      <w:pPr>
        <w:pStyle w:val="ListBullet"/>
        <w:keepLines/>
      </w:pPr>
      <w:r>
        <w:rPr>
          <w:rFonts w:ascii="Arial" w:hAnsi="Arial" w:eastAsia="Arial"/>
          <w:color w:val="20252B"/>
          <w:sz w:val="20"/>
        </w:rPr>
        <w:t>Каждый вывод хранит ссылку на фрагмент исходного документа или запись каталога.</w:t>
      </w:r>
    </w:p>
    <w:p>
      <w:pPr>
        <w:pStyle w:val="ListBullet"/>
        <w:keepLines/>
      </w:pPr>
      <w:r>
        <w:rPr>
          <w:rFonts w:ascii="Arial" w:hAnsi="Arial" w:eastAsia="Arial"/>
          <w:color w:val="20252B"/>
          <w:sz w:val="20"/>
        </w:rPr>
        <w:t>Публикация блокируется при низкой уверенности, конфликте источников или отсутствии обязательных полей.</w:t>
      </w:r>
    </w:p>
    <w:p>
      <w:pPr>
        <w:pStyle w:val="ListBullet"/>
        <w:keepLines/>
      </w:pPr>
      <w:r>
        <w:rPr>
          <w:rFonts w:ascii="Arial" w:hAnsi="Arial" w:eastAsia="Arial"/>
          <w:color w:val="20252B"/>
          <w:sz w:val="20"/>
        </w:rPr>
        <w:t>Файлы проходят антивирусную проверку; права на заявки наследуются из корпоративной системы.</w:t>
      </w:r>
    </w:p>
    <w:p>
      <w:pPr>
        <w:pStyle w:val="ListBullet"/>
        <w:keepLines/>
      </w:pPr>
      <w:r>
        <w:rPr>
          <w:rFonts w:ascii="Arial" w:hAnsi="Arial" w:eastAsia="Arial"/>
          <w:color w:val="20252B"/>
          <w:sz w:val="20"/>
        </w:rPr>
        <w:t>Промпты, версии моделей, параметры и ответы журналируются для воспроизводимости и расследования ошибок.</w:t>
      </w:r>
    </w:p>
    <w:p>
      <w:pPr>
        <w:pStyle w:val="ListBullet"/>
        <w:keepLines/>
      </w:pPr>
      <w:r>
        <w:rPr>
          <w:rFonts w:ascii="Arial" w:hAnsi="Arial" w:eastAsia="Arial"/>
          <w:color w:val="20252B"/>
          <w:sz w:val="20"/>
        </w:rPr>
        <w:t>Отдельный evaluation-набор запускается при каждом обновлении модели, правил или справочников.</w:t>
      </w:r>
    </w:p>
    <w:p>
      <w:pPr>
        <w:pStyle w:val="ListBullet"/>
        <w:keepLines/>
      </w:pPr>
      <w:r>
        <w:rPr>
          <w:rFonts w:ascii="Arial" w:hAnsi="Arial" w:eastAsia="Arial"/>
          <w:color w:val="20252B"/>
          <w:sz w:val="20"/>
        </w:rPr>
        <w:t>Персональные и коммерчески чувствительные данные не используются для внешнего обучения без отдельного решения.</w:t>
      </w:r>
    </w:p>
    <w:p>
      <w:pPr>
        <w:pStyle w:val="Heading1"/>
        <w:keepNext/>
      </w:pPr>
      <w:r>
        <w:t>14. Управленческий смысл и решение о запуске</w:t>
      </w:r>
    </w:p>
    <w:p>
      <w:pPr>
        <w:keepLines/>
      </w:pPr>
      <w:r>
        <w:rPr>
          <w:rFonts w:ascii="Arial" w:hAnsi="Arial" w:eastAsia="Arial"/>
          <w:color w:val="20252B"/>
          <w:sz w:val="20"/>
        </w:rPr>
        <w:t>Проект создаёт корпоративный AI-фундамент, а не одноразовую автоматизацию. Самая дорогая часть - не закупка GPU и не подключение модели, а перевод накопленных знаний компании в управляемую систему данных, правил, тестов и обратной связи. Именно этот актив обеспечивает долгосрочный эффект и снижает зависимость от конкретного поставщика модели.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600"/>
      </w:tblGrid>
      <w:tr>
        <w:trPr>
          <w:tblHeader w:val="true"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0"/>
          </w:tcPr>
          <w:p>
            <w:pPr>
              <w:pStyle w:val="TableHead"/>
              <w:keepLines/>
            </w:pPr>
            <w:r>
              <w:rPr>
                <w:rFonts w:ascii="Arial" w:hAnsi="Arial" w:eastAsia="Arial"/>
                <w:b/>
                <w:color w:val="176B4D"/>
                <w:sz w:val="16"/>
              </w:rPr>
              <w:t>ПРЕДЛАГАЕМОЕ РЕШЕНИЕ</w:t>
            </w:r>
          </w:p>
        </w:tc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0"/>
          </w:tcPr>
          <w:p>
            <w:pPr>
              <w:pStyle w:val="TableText"/>
              <w:keepLines/>
            </w:pPr>
            <w:r>
              <w:rPr>
                <w:rFonts w:ascii="Arial" w:hAnsi="Arial" w:eastAsia="Arial"/>
                <w:b/>
                <w:color w:val="0B2545"/>
                <w:sz w:val="19"/>
              </w:rPr>
              <w:t>Утвердить двухнедельный этап проектирования: назначить владельца продукта и инженерного владельца таксономии, предоставить обезличенную историческую выборку заявок и итоговых КП, зафиксировать KPI пилота и подготовить смету производственного контура. Покупку максимальной конфигурации и массовое производство визуалов выполнять только после offline-проверки качества.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</w:pPr>
      <w:r>
        <w:t>Технические источники</w:t>
      </w:r>
    </w:p>
    <w:p>
      <w:pPr>
        <w:pStyle w:val="SmallNote"/>
        <w:ind w:left="259"/>
        <w:keepLines/>
      </w:pPr>
      <w:r>
        <w:rPr>
          <w:rFonts w:ascii="Arial" w:hAnsi="Arial" w:eastAsia="Arial"/>
          <w:color w:val="5F6B76"/>
          <w:sz w:val="15"/>
        </w:rPr>
        <w:t>PaddleOCR-VL 1.6: https://www.paddleocr.ai/main/en/version3.x/algorithm/PaddleOCR-VL/PaddleOCR-VL-1.6.html</w:t>
      </w:r>
    </w:p>
    <w:p>
      <w:pPr>
        <w:pStyle w:val="SmallNote"/>
        <w:ind w:left="259"/>
        <w:keepLines/>
      </w:pPr>
      <w:r>
        <w:rPr>
          <w:rFonts w:ascii="Arial" w:hAnsi="Arial" w:eastAsia="Arial"/>
          <w:color w:val="5F6B76"/>
          <w:sz w:val="15"/>
        </w:rPr>
        <w:t>Qwen3-VL: https://github.com/QwenLM/Qwen3-VL</w:t>
      </w:r>
    </w:p>
    <w:p>
      <w:pPr>
        <w:pStyle w:val="SmallNote"/>
        <w:ind w:left="259"/>
        <w:keepLines/>
      </w:pPr>
      <w:r>
        <w:rPr>
          <w:rFonts w:ascii="Arial" w:hAnsi="Arial" w:eastAsia="Arial"/>
          <w:color w:val="5F6B76"/>
          <w:sz w:val="15"/>
        </w:rPr>
        <w:t>Qwen3: https://qwenlm.github.io/blog/qwen3/</w:t>
      </w:r>
    </w:p>
    <w:p>
      <w:pPr>
        <w:pStyle w:val="SmallNote"/>
        <w:ind w:left="259"/>
        <w:keepLines/>
      </w:pPr>
      <w:r>
        <w:rPr>
          <w:rFonts w:ascii="Arial" w:hAnsi="Arial" w:eastAsia="Arial"/>
          <w:color w:val="5F6B76"/>
          <w:sz w:val="15"/>
        </w:rPr>
        <w:t>BGE-M3: https://github.com/FlagOpen/FlagEmbedding/blob/master/docs/source/bge/bge_m3.rst</w:t>
      </w:r>
    </w:p>
    <w:p>
      <w:pPr>
        <w:pStyle w:val="SmallNote"/>
        <w:ind w:left="259"/>
        <w:keepLines/>
      </w:pPr>
      <w:r>
        <w:rPr>
          <w:rFonts w:ascii="Arial" w:hAnsi="Arial" w:eastAsia="Arial"/>
          <w:color w:val="5F6B76"/>
          <w:sz w:val="15"/>
        </w:rPr>
        <w:t>vLLM supported models: https://docs.vllm.ai/en/latest/models/supported_models/</w:t>
      </w:r>
    </w:p>
    <w:p>
      <w:pPr>
        <w:pStyle w:val="SmallNote"/>
        <w:ind w:left="259"/>
        <w:keepLines/>
      </w:pPr>
      <w:r>
        <w:rPr>
          <w:rFonts w:ascii="Arial" w:hAnsi="Arial" w:eastAsia="Arial"/>
          <w:color w:val="5F6B76"/>
          <w:sz w:val="15"/>
        </w:rPr>
        <w:t>LangGraph orchestration and human-in-the-loop: https://docs.langchain.com/oss/python/langgraph/overview</w:t>
      </w:r>
    </w:p>
    <w:p>
      <w:pPr>
        <w:pStyle w:val="SmallNote"/>
        <w:ind w:left="259"/>
        <w:keepLines/>
      </w:pPr>
      <w:r>
        <w:rPr>
          <w:rFonts w:ascii="Arial" w:hAnsi="Arial" w:eastAsia="Arial"/>
          <w:color w:val="5F6B76"/>
          <w:sz w:val="15"/>
        </w:rPr>
        <w:t>ComfyUI: https://github.com/Comfy-Org/ComfyUI</w:t>
      </w:r>
    </w:p>
    <w:p>
      <w:pPr>
        <w:pStyle w:val="SmallNote"/>
        <w:ind w:left="259"/>
        <w:keepLines/>
      </w:pPr>
      <w:r>
        <w:rPr>
          <w:rFonts w:ascii="Arial" w:hAnsi="Arial" w:eastAsia="Arial"/>
          <w:color w:val="5F6B76"/>
          <w:sz w:val="15"/>
        </w:rPr>
        <w:t>NVIDIA RTX PRO 6000 Blackwell: https://www.nvidia.com/en-us/products/workstations/professional-desktop-gpus/rtx-pro-6000/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F6B76"/>
        <w:sz w:val="17"/>
      </w:rPr>
      <w:t xml:space="preserve">Страница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/>
        <w:color w:val="5F6B76"/>
        <w:sz w:val="16"/>
      </w:rPr>
      <w:t>КОНЦЕПЦИЯ НЕЗАВИСИМОЙ AI-ПЛАТФОРМЫ  |  ВНУТРЕННИЙ ДОКУМЕНТ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/>
      <w:color w:val="2025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ind w:left="547" w:hanging="274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ind w:left="547" w:hanging="274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140" w:line="269" w:lineRule="auto"/>
    </w:pPr>
    <w:rPr>
      <w:rFonts w:ascii="Arial" w:hAnsi="Arial"/>
      <w:b/>
      <w:color w:val="0B2545"/>
      <w:sz w:val="23"/>
    </w:rPr>
  </w:style>
  <w:style w:type="paragraph" w:customStyle="1" w:styleId="SmallNote">
    <w:name w:val="Small Note"/>
    <w:pPr>
      <w:spacing w:after="80"/>
    </w:pPr>
    <w:rPr>
      <w:rFonts w:ascii="Arial" w:hAnsi="Arial"/>
      <w:color w:val="5F6B76"/>
      <w:sz w:val="17"/>
    </w:rPr>
  </w:style>
  <w:style w:type="paragraph" w:customStyle="1" w:styleId="TableText">
    <w:name w:val="Table Text"/>
    <w:pPr>
      <w:spacing w:after="0" w:line="245" w:lineRule="auto"/>
    </w:pPr>
    <w:rPr>
      <w:rFonts w:ascii="Arial" w:hAnsi="Arial"/>
      <w:color w:val="20252B"/>
      <w:sz w:val="17"/>
    </w:rPr>
  </w:style>
  <w:style w:type="paragraph" w:customStyle="1" w:styleId="TableHead">
    <w:name w:val="Table Head"/>
    <w:pPr>
      <w:spacing w:after="0"/>
    </w:pPr>
    <w:rPr>
      <w:rFonts w:ascii="Arial" w:hAnsi="Arial"/>
      <w:b/>
      <w:color w:val="0B254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Независимая AI-платформа анализа заявок и формирования КП</dc:title>
  <dc:subject>Стратегическая записка и технический план реализации</dc:subject>
  <dc:creator/>
  <cp:keywords>AI, коммерческое предложение, OCR, RAG, VLM, оркестрация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