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FF" w:rsidRDefault="00D80A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2429FF" w:rsidRDefault="00D80A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2429FF" w:rsidRDefault="00D80A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2429FF" w:rsidRDefault="00D80A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D80A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29FF" w:rsidRDefault="00D80AB7">
      <w:pPr>
        <w:tabs>
          <w:tab w:val="left" w:pos="0"/>
        </w:tabs>
        <w:ind w:left="200" w:righ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«Исследование методов текстовой стеганографии»</w:t>
      </w: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2429F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D80AB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2429FF" w:rsidRDefault="00D80AB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2429FF" w:rsidRDefault="00D80AB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Трусов Всеволод Сергеевич</w:t>
      </w:r>
    </w:p>
    <w:p w:rsidR="002429FF" w:rsidRDefault="002429F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0AB7" w:rsidRDefault="00D80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0AB7" w:rsidRDefault="00D80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0AB7" w:rsidRDefault="00D80AB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429FF" w:rsidRDefault="002429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429FF" w:rsidRDefault="00D80AB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2023</w:t>
      </w:r>
      <w:bookmarkStart w:id="0" w:name="_GoBack"/>
      <w:bookmarkEnd w:id="0"/>
    </w:p>
    <w:p w:rsidR="002429FF" w:rsidRDefault="002429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29FF" w:rsidRDefault="00D80AB7">
      <w:pPr>
        <w:spacing w:after="240"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Теоретическая часть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Многообразие методов текстовой стеганографии подразделяется на синтаксические методы, которые не затрагивают семантику текстового 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cм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. [2, 52–56]). Для понимания сущности некоторых из методов полезно познакомиться с важнейш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ими особенностями и параметрами использования стилей (в том числе пространственно-геометрическими параметрами шрифтов), на основе которых строится текстовый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файлконтейнер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. Параметры шрифта (источник: http://indians.ru/a-font-sizes.htm) К синтаксическим мет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одам компьютерной стеганографии, которые характеризуются сравнительно невысокой эффективностью (с точки зрения объема встраиваемой информации), относятся следующие (такие методы мы отнесем к числу базовых синтаксических методов):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изменение расстояния меж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ду строками электронного текста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Line-Shift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Coding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); называется методом изменения межстрочных интервалов;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ками, позволяющее кодировать соответственно символы «1» и «0» осаждаемого сообщения;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изменение расстояния между словами в одной строке электронного текста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Word-Shift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Coding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); суть метода состоит в том, что осаждение информации основано на модификации ра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сстояния между словами текста-контейнера;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• изменение количества пробелов между словами (частный случай метода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Word-Shift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Coding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); основан та том, что, например, чередование одинарного пробела и двойного (хх_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хх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__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хх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 кодирует «1», переход же с двойного про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бела на одинарный кодирует «0»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хх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__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хх_хх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);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• на основе внесения специфических изменений в шрифты, т. </w:t>
      </w:r>
      <w:proofErr w:type="spellStart"/>
      <w:proofErr w:type="gram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е.начертания</w:t>
      </w:r>
      <w:proofErr w:type="spellEnd"/>
      <w:proofErr w:type="gram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отдельных букв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Feature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Coding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); заключается в изменении написания отдельных букв используемого стандартного шрифта: визуально заметны разли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 (рис. 13.2);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изменение инт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 •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Null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Chipper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(дословно – несуществующий, нулевой лепе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увеличение длины строки; предусматривает искусстве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«1»;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использование регистра букв; для обозначения бита секретного сообщения, представленного единице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й, используется символ нижнего регистра, а нулем – верхнего (или наоборот);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• использование невидимых символов; знак «пробел» кодируется символом с 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lastRenderedPageBreak/>
        <w:t>кодом 32, но в тексте его можно заменить также символом, имеющим код 255 (или 0), который является «невидим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ым» и отображается как пробел. 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Еще одна важная особенность. Перечисле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нные методы работают успешно до тех пор, пока тексты представлены в коде ASCII. Методы также легко применяются к любому тексту, независимо от его содержания, назначения и языка. Синтаксические системы стеганографии легко реализуются в программном коде, так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я форматирования текста-контейнера, скрывающего в себе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стегосообщение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. К тому же с помощью синтаксических методов можно передать незначительное количество информации.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Существуют также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стеганографические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методы, которые интерпретируют текст как двоичное из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ображение. Необходимо отметить, что данные методы нечувствительны к изменению масштаба документа, что обеспечивает им хорошую устойчивость к большинству искажений, которые могут иметь место при активных атаках. К числу основных лингвистических методов отно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сятся [2, 52]: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метод синонимов; в качестве примера приведем подмножество синонимов: {«тайный», «секретный», «конфиденциальный», «доверительный»}. В приведенном подмножестве каждое слово имеет единственное одинаковое смысловое значение, что позволяет зак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одировать каждое слово своим уникальным </w:t>
      </w:r>
      <w:proofErr w:type="gram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кодом !</w:t>
      </w:r>
      <w:proofErr w:type="gram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Исследование методов текстовой стеганографии (т. е. выполнить операцию осаждения), например, «доверительный» – 00, «конфиденциальный» – 01, «секретный» – 10, «тайный» – 11. Подобное кодирование позволяет выби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рать одно из четырех слов (как видим, они для удобства расположены по алфавиту) в зависимости от двух битов секретного сообщения. Отметим, что при этом, независимо какое из четырех слов будет выбрано, семантика сообщения не изменится. Очевидно, что при это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м количество символов, соответствующих одному из синонимов используемого подмножества, зависит от общего числа элементов в подмножестве. Кроме того, обеим сторонам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стеганосистемы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должен быть известен общий алгоритм кодирования, т. е. один из ключей системы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. Следует отметить, что в каждом подмножестве синонимов их упорядочивание должно выполняться по одному и тому же алгоритму и у отправителя сообщения, и у его получателя. В случае наличия слов с несколькими смысловыми значениями подобное кодирование оказыва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ется невозможным. Также невозможно кодирование, если один из синонимов состоит из двух (или более) разделенных пробелом слов;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метод переменной длины слова; основан на том, что длина слов в сообщении зависит от содержания секретного сообщения и способа к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одирования слов: обычно одно слово текста-контейнера определенной длины кодирует два бита информации из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стеганосообщения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; например, слова текста длиной в 4 и 8 символов могут означать комбинацию битов «00», длиной в 5 и 9 – «01», 6 и 10 – «10», 7 и 11 букв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–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стеганоконтейнера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), будет 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lastRenderedPageBreak/>
        <w:t>просто игнорир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овать их;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• 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, начинающиеся с «А», «Г» или «Т; </w:t>
      </w:r>
    </w:p>
    <w:p w:rsidR="002429FF" w:rsidRDefault="00D80AB7">
      <w:pPr>
        <w:widowControl w:val="0"/>
        <w:spacing w:after="0" w:line="240" w:lineRule="auto"/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• мимикрия; мимикрия генерирует осмысленный текст, используя синтаксис, описанный в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Context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Free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Grammar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(CFG), и встраивает информацию, выбирая из CFG определенные фразы и слова; грамматика CFG – это один из способов опи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сания языка, который состоит из статических слов и фраз языка, а также узлов.</w:t>
      </w:r>
    </w:p>
    <w:p w:rsidR="002429FF" w:rsidRDefault="00D80AB7">
      <w:pPr>
        <w:widowControl w:val="0"/>
        <w:spacing w:before="360" w:after="240" w:line="240" w:lineRule="auto"/>
        <w:ind w:firstLine="737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val="ru-RU"/>
        </w:rPr>
        <w:t xml:space="preserve">Метод на основе апроша </w:t>
      </w:r>
    </w:p>
    <w:p w:rsidR="002429FF" w:rsidRDefault="00D80AB7">
      <w:pPr>
        <w:widowControl w:val="0"/>
        <w:spacing w:after="0" w:line="240" w:lineRule="auto"/>
        <w:ind w:firstLine="737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Апрош определяет расстояние между соседними символами текста. Фактически апрош состоит из двух таких расстояний –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полуапрошей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, являющихся как бы пространс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твом, прилегающим к каждому из символов-соседей. Мы далее будем обращаться только к апрошу. Согласно существующим техническим правилам набора нормальный апрош должен быть равен половине кегля (размера) шрифта. Идея метода [69, 70] заключается в следующем. 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Встраивание сообщения в контейнер может быть основано на модификации базового (устанавливаемого текстовым процессором по умолчанию) значения апроша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ао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, его изменением от базового до некоторого максимального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аmax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(или минимального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аmin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), которое зрительно н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е должно отличаться от стандартного. Такое изменение производится с определенным шагом (дискретно)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Δаi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, каждому значению которого присваивается определенный бит или определенная комбинация битов. Исследование методов текстовой стеганографии. Измерение апро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ша Изменение величины апроша между двумя определенными символами текста относительно базового значения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ао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на небольшое расстояние (пункты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пт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) или доли пункта) формально можно представить в следующем виде: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at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ао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Δа</w:t>
      </w:r>
      <w:proofErr w:type="gram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Такое изменение не должно вызывать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визуально заметного уплотнения 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Δаt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0) групп символов. В текстовом процессоре MS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Word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апрош может принимать значения в диапазоне от 0 до 1584 пунктов.</w:t>
      </w:r>
    </w:p>
    <w:p w:rsidR="002429FF" w:rsidRDefault="00D80AB7">
      <w:pPr>
        <w:widowControl w:val="0"/>
        <w:spacing w:before="360" w:after="240" w:line="240" w:lineRule="auto"/>
        <w:ind w:firstLine="737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val="ru-RU"/>
        </w:rPr>
        <w:t>Метод на основе кернинга</w:t>
      </w:r>
    </w:p>
    <w:p w:rsidR="002429FF" w:rsidRDefault="00D80AB7">
      <w:pPr>
        <w:widowControl w:val="0"/>
        <w:spacing w:after="0" w:line="240" w:lineRule="auto"/>
        <w:ind w:firstLine="737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В текстовых документах встречаются такие сочетания знаков, которые образовывают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визуальные «дыры» либо «сгущения». Например, в текстах на основе кириллицы – это такие сочетания: «ГА», «TA», «ATA», «ЬТ» и т. п., на основе латиницы – «AY», «AV», «T;»,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ff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», а на основе греческого алфавита – «ΘΑ», «ΔΟ»,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λκ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» и др. Такие сочетания называ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ются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кернинговыми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парами. Под кернингом обычно понимается процесс изменения межсимвольного расстояние между отдельными парами символов или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кернинговыми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парами (именно фактор парности отличает кернинг от апроша</w:t>
      </w:r>
      <w:proofErr w:type="gram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).Пояснение</w:t>
      </w:r>
      <w:proofErr w:type="gram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к понятию кернинга Текст без кернин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га Текст с кернингом Исследование методов текстовой стеганографии. Таким образом, технология кернинга, появившаяся в полиграфии после внедрения фотонабора (а затем и компьютерного набора), включает подбор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межбуквенных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интервалов для конкретных пар букв с ц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елью улучшения внешнего вида и удобочитаемости текста. Такой избирательный под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lastRenderedPageBreak/>
        <w:t xml:space="preserve">бор позволяет компенсировать неравномерности визуальной плотности текста, получаемой при использовании стандартных апрошей для каждой буквы. Очевидно, что промежуток между «A» и 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«V» в первой строке на рис. 13.6 гораздо больше, чем во втором, хотя формально они одинаковы. В данном случае сочетание «AV» как раз и является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кернинговой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парой. После применения кернинга визуальное восприятие текста улучшилось.</w:t>
      </w:r>
    </w:p>
    <w:p w:rsidR="002429FF" w:rsidRDefault="00D80AB7">
      <w:pPr>
        <w:widowControl w:val="0"/>
        <w:spacing w:before="360" w:after="240" w:line="240" w:lineRule="auto"/>
        <w:ind w:firstLine="737"/>
        <w:jc w:val="center"/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val="ru-RU"/>
        </w:rPr>
        <w:t>Практическая часть</w:t>
      </w:r>
    </w:p>
    <w:p w:rsidR="002429FF" w:rsidRDefault="00D80A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Требовалось разработать собственное приложение, в котором должен быть реализован методы текстовой стенографии. </w:t>
      </w:r>
      <w:r>
        <w:rPr>
          <w:rFonts w:ascii="Times New Roman" w:hAnsi="Times New Roman" w:cs="Times New Roman"/>
          <w:sz w:val="28"/>
          <w:szCs w:val="28"/>
          <w:lang w:val="ru-RU"/>
        </w:rPr>
        <w:t>Общий интерфейс приложения представлен на рисунке 1.</w:t>
      </w:r>
    </w:p>
    <w:p w:rsidR="002429FF" w:rsidRDefault="00D80A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US"/>
        </w:rPr>
        <w:drawing>
          <wp:inline distT="0" distB="0" distL="0" distR="0">
            <wp:extent cx="5019675" cy="1533525"/>
            <wp:effectExtent l="0" t="0" r="0" b="0"/>
            <wp:docPr id="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yyt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hHgAAbwkAAAAAAAAAAAAAAAAAACgAAAAIAAAAAQAAAAE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429FF" w:rsidRDefault="00D80AB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Общий интерфейс программы</w:t>
      </w:r>
    </w:p>
    <w:p w:rsidR="002429FF" w:rsidRDefault="00D80A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пункта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требуется выбрать один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двух методов встраивания. </w:t>
      </w:r>
      <w:r>
        <w:rPr>
          <w:rFonts w:ascii="Times New Roman" w:eastAsia="SimSun" w:hAnsi="Times New Roman" w:cs="Times New Roman"/>
          <w:kern w:val="1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 приведен скриншот операции.</w:t>
      </w:r>
    </w:p>
    <w:p w:rsidR="002429FF" w:rsidRDefault="00D80A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US"/>
        </w:rPr>
        <w:drawing>
          <wp:inline distT="0" distB="0" distL="0" distR="0">
            <wp:extent cx="3771900" cy="1371600"/>
            <wp:effectExtent l="0" t="0" r="0" b="0"/>
            <wp:docPr id="2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yytYB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QXAABwCAAANBcAAHAIAAAAAAAACQAAAAQAAAAAAAAADAAAABAAAAAAAAAAAAAAAAAAAAAAAAAAHgAAAGgAAAAAAAAAAAAAAAAAAAAAAAAAAAAAABAnAAAQJwAAAAAAAAAAAAAAAAAAAAAAAAAAAAAAAAAAAAAAAAAAAAAUAAAAAAAAAMDA/wAAAAAAZAAAADIAAAAAAAAAZAAAAAAAAAB/f38ACgAAACEAAABAAAAAPAAAAAAAAAAAAAAAAAAAAAAAAAAAAAAAAAAAAAAAAAAAAAAAAAAAAAAAAAA0FwAAcAg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429FF" w:rsidRDefault="00D80AB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Выбор метода встраивания</w:t>
      </w:r>
    </w:p>
    <w:p w:rsidR="002429FF" w:rsidRDefault="00D80AB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выберем один их методов. После нам предложит ввести встраиваемое сообщение. Это продемонстрировано на рисунке 3.</w:t>
      </w:r>
    </w:p>
    <w:p w:rsidR="002429FF" w:rsidRDefault="00D80A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US"/>
        </w:rPr>
        <w:drawing>
          <wp:inline distT="0" distB="0" distL="0" distR="0">
            <wp:extent cx="3667125" cy="1278255"/>
            <wp:effectExtent l="0" t="0" r="0" b="0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yytYB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8WAADdBwAAjxYAAN0HAAAAAAAACQAAAAQAAAAAAAAADAAAABAAAAAAAAAAAAAAAAAAAAAAAAAAHgAAAGgAAAAAAAAAAAAAAAAAAAAAAAAAAAAAABAnAAAQJwAAAAAAAAAAAAAAAAAAAAAAAAAAAAAAAAAAAAAAAAAAAAAUAAAAAAAAAMDA/wAAAAAAZAAAADIAAAAAAAAAZAAAAAAAAAB/f38ACgAAACEAAABAAAAAPAAAAAAAAAAAAAAAAAAAAAAAAAAAAAAAAAAAAAAAAAAAAAAAAAAAAAAAAACPFgAA3Qc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78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429FF" w:rsidRDefault="00D80AB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Ввод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встраивоемого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</w:p>
    <w:p w:rsidR="002429FF" w:rsidRDefault="00D80AB7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для извлечения сообщения из документа необходимо выбрать пункт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метод, который применялся для встраивания. После чего будет выведено секретное сообщение, что продемонстрировано на рисунке 4.</w:t>
      </w:r>
    </w:p>
    <w:p w:rsidR="002429FF" w:rsidRDefault="00D80A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US"/>
        </w:rPr>
        <w:drawing>
          <wp:inline distT="0" distB="0" distL="0" distR="0">
            <wp:extent cx="1952625" cy="13335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Ayyt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DDAAANAg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33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2429FF" w:rsidRDefault="00D80AB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</w:t>
      </w:r>
      <w:r>
        <w:rPr>
          <w:rFonts w:ascii="Times New Roman" w:hAnsi="Times New Roman" w:cs="Times New Roman"/>
          <w:sz w:val="28"/>
          <w:szCs w:val="28"/>
          <w:lang w:val="ru-RU"/>
        </w:rPr>
        <w:t>зультат извлечения секретного сообщения из документа</w:t>
      </w:r>
    </w:p>
    <w:p w:rsidR="002429FF" w:rsidRPr="00D80AB7" w:rsidRDefault="00D80AB7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результате лабораторной работы мы ознакомились с</w:t>
      </w:r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о</w:t>
      </w:r>
      <w:r>
        <w:rPr>
          <w:rFonts w:ascii="Times New Roman" w:eastAsia="SimSun" w:hAnsi="Times New Roman" w:cs="Times New Roman"/>
          <w:kern w:val="1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>стеганографическими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  <w:lang w:val="ru-RU"/>
        </w:rPr>
        <w:t xml:space="preserve"> методами встраивания/извлечения тайной информации с использованием электронного файла-контейнера текстового формата.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б</w:t>
      </w:r>
      <w:r>
        <w:rPr>
          <w:rFonts w:ascii="Times New Roman" w:hAnsi="Times New Roman" w:cs="Times New Roman"/>
          <w:sz w:val="28"/>
          <w:szCs w:val="28"/>
          <w:lang w:val="ru-RU"/>
        </w:rPr>
        <w:t>ыла разработано программное средство реализуемое поставленные в практической части задачи</w:t>
      </w:r>
      <w:r w:rsidRPr="00D80AB7">
        <w:rPr>
          <w:lang w:val="ru-RU"/>
        </w:rPr>
        <w:t>.</w:t>
      </w:r>
    </w:p>
    <w:sectPr w:rsidR="002429FF" w:rsidRPr="00D80AB7">
      <w:endnotePr>
        <w:numFmt w:val="decimal"/>
      </w:endnotePr>
      <w:pgSz w:w="11910" w:h="16840"/>
      <w:pgMar w:top="1134" w:right="567" w:bottom="850" w:left="130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02E74"/>
    <w:multiLevelType w:val="hybridMultilevel"/>
    <w:tmpl w:val="C4348D2C"/>
    <w:name w:val="Нумерованный список 3"/>
    <w:lvl w:ilvl="0" w:tplc="7298A1A4">
      <w:start w:val="1"/>
      <w:numFmt w:val="decimal"/>
      <w:lvlText w:val="%1."/>
      <w:lvlJc w:val="left"/>
      <w:pPr>
        <w:ind w:left="360" w:firstLine="0"/>
      </w:pPr>
    </w:lvl>
    <w:lvl w:ilvl="1" w:tplc="8A22C9DA">
      <w:start w:val="1"/>
      <w:numFmt w:val="lowerLetter"/>
      <w:lvlText w:val="%2."/>
      <w:lvlJc w:val="left"/>
      <w:pPr>
        <w:ind w:left="1080" w:firstLine="0"/>
      </w:pPr>
    </w:lvl>
    <w:lvl w:ilvl="2" w:tplc="3B50C95C">
      <w:start w:val="1"/>
      <w:numFmt w:val="lowerRoman"/>
      <w:lvlText w:val="%3."/>
      <w:lvlJc w:val="left"/>
      <w:pPr>
        <w:ind w:left="1980" w:firstLine="0"/>
      </w:pPr>
    </w:lvl>
    <w:lvl w:ilvl="3" w:tplc="4D6800B4">
      <w:start w:val="1"/>
      <w:numFmt w:val="decimal"/>
      <w:lvlText w:val="%4."/>
      <w:lvlJc w:val="left"/>
      <w:pPr>
        <w:ind w:left="2520" w:firstLine="0"/>
      </w:pPr>
    </w:lvl>
    <w:lvl w:ilvl="4" w:tplc="65B692A2">
      <w:start w:val="1"/>
      <w:numFmt w:val="lowerLetter"/>
      <w:lvlText w:val="%5."/>
      <w:lvlJc w:val="left"/>
      <w:pPr>
        <w:ind w:left="3240" w:firstLine="0"/>
      </w:pPr>
    </w:lvl>
    <w:lvl w:ilvl="5" w:tplc="CDD4EB5C">
      <w:start w:val="1"/>
      <w:numFmt w:val="lowerRoman"/>
      <w:lvlText w:val="%6."/>
      <w:lvlJc w:val="left"/>
      <w:pPr>
        <w:ind w:left="4140" w:firstLine="0"/>
      </w:pPr>
    </w:lvl>
    <w:lvl w:ilvl="6" w:tplc="CDD2A37C">
      <w:start w:val="1"/>
      <w:numFmt w:val="decimal"/>
      <w:lvlText w:val="%7."/>
      <w:lvlJc w:val="left"/>
      <w:pPr>
        <w:ind w:left="4680" w:firstLine="0"/>
      </w:pPr>
    </w:lvl>
    <w:lvl w:ilvl="7" w:tplc="3EEE8FAC">
      <w:start w:val="1"/>
      <w:numFmt w:val="lowerLetter"/>
      <w:lvlText w:val="%8."/>
      <w:lvlJc w:val="left"/>
      <w:pPr>
        <w:ind w:left="5400" w:firstLine="0"/>
      </w:pPr>
    </w:lvl>
    <w:lvl w:ilvl="8" w:tplc="41A233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5A4544B4"/>
    <w:multiLevelType w:val="hybridMultilevel"/>
    <w:tmpl w:val="E3DC3458"/>
    <w:name w:val="Нумерованный список 1"/>
    <w:lvl w:ilvl="0" w:tplc="9DE0412E">
      <w:numFmt w:val="bullet"/>
      <w:lvlText w:val=""/>
      <w:lvlJc w:val="left"/>
      <w:pPr>
        <w:ind w:left="-74" w:firstLine="0"/>
      </w:pPr>
      <w:rPr>
        <w:rFonts w:ascii="Symbol" w:eastAsia="Symbol" w:hAnsi="Symbol" w:cs="Symbol"/>
        <w:w w:val="100"/>
        <w:sz w:val="28"/>
        <w:szCs w:val="28"/>
        <w:lang w:val="ru-RU"/>
      </w:rPr>
    </w:lvl>
    <w:lvl w:ilvl="1" w:tplc="D0CCC8C6">
      <w:numFmt w:val="bullet"/>
      <w:lvlText w:val="•"/>
      <w:lvlJc w:val="left"/>
      <w:pPr>
        <w:ind w:left="806" w:firstLine="0"/>
      </w:pPr>
      <w:rPr>
        <w:lang w:val="ru-RU"/>
      </w:rPr>
    </w:lvl>
    <w:lvl w:ilvl="2" w:tplc="DE3C2304">
      <w:numFmt w:val="bullet"/>
      <w:lvlText w:val="•"/>
      <w:lvlJc w:val="left"/>
      <w:pPr>
        <w:ind w:left="1691" w:firstLine="0"/>
      </w:pPr>
      <w:rPr>
        <w:lang w:val="ru-RU"/>
      </w:rPr>
    </w:lvl>
    <w:lvl w:ilvl="3" w:tplc="BB86832C">
      <w:numFmt w:val="bullet"/>
      <w:lvlText w:val="•"/>
      <w:lvlJc w:val="left"/>
      <w:pPr>
        <w:ind w:left="2575" w:firstLine="0"/>
      </w:pPr>
      <w:rPr>
        <w:lang w:val="ru-RU"/>
      </w:rPr>
    </w:lvl>
    <w:lvl w:ilvl="4" w:tplc="9BD49750">
      <w:numFmt w:val="bullet"/>
      <w:lvlText w:val="•"/>
      <w:lvlJc w:val="left"/>
      <w:pPr>
        <w:ind w:left="3460" w:firstLine="0"/>
      </w:pPr>
      <w:rPr>
        <w:lang w:val="ru-RU"/>
      </w:rPr>
    </w:lvl>
    <w:lvl w:ilvl="5" w:tplc="8726291A">
      <w:numFmt w:val="bullet"/>
      <w:lvlText w:val="•"/>
      <w:lvlJc w:val="left"/>
      <w:pPr>
        <w:ind w:left="4345" w:firstLine="0"/>
      </w:pPr>
      <w:rPr>
        <w:lang w:val="ru-RU"/>
      </w:rPr>
    </w:lvl>
    <w:lvl w:ilvl="6" w:tplc="57409326">
      <w:numFmt w:val="bullet"/>
      <w:lvlText w:val="•"/>
      <w:lvlJc w:val="left"/>
      <w:pPr>
        <w:ind w:left="5229" w:firstLine="0"/>
      </w:pPr>
      <w:rPr>
        <w:lang w:val="ru-RU"/>
      </w:rPr>
    </w:lvl>
    <w:lvl w:ilvl="7" w:tplc="8C96E0D2">
      <w:numFmt w:val="bullet"/>
      <w:lvlText w:val="•"/>
      <w:lvlJc w:val="left"/>
      <w:pPr>
        <w:ind w:left="6114" w:firstLine="0"/>
      </w:pPr>
      <w:rPr>
        <w:lang w:val="ru-RU"/>
      </w:rPr>
    </w:lvl>
    <w:lvl w:ilvl="8" w:tplc="59F69524">
      <w:numFmt w:val="bullet"/>
      <w:lvlText w:val="•"/>
      <w:lvlJc w:val="left"/>
      <w:pPr>
        <w:ind w:left="6998" w:firstLine="0"/>
      </w:pPr>
      <w:rPr>
        <w:lang w:val="ru-RU"/>
      </w:rPr>
    </w:lvl>
  </w:abstractNum>
  <w:abstractNum w:abstractNumId="2" w15:restartNumberingAfterBreak="0">
    <w:nsid w:val="5AA53E75"/>
    <w:multiLevelType w:val="hybridMultilevel"/>
    <w:tmpl w:val="851E75A6"/>
    <w:lvl w:ilvl="0" w:tplc="BE28BA8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08AD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D1E32F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726ADE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698F59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E565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90658D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62C67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A9A7CC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FC19D7"/>
    <w:multiLevelType w:val="multilevel"/>
    <w:tmpl w:val="C9206D82"/>
    <w:name w:val="Нумерованный список 2"/>
    <w:lvl w:ilvl="0">
      <w:start w:val="12"/>
      <w:numFmt w:val="decimal"/>
      <w:lvlText w:val="%1"/>
      <w:lvlJc w:val="left"/>
      <w:pPr>
        <w:ind w:left="124" w:firstLine="0"/>
      </w:pPr>
      <w:rPr>
        <w:lang w:val="ru-RU"/>
      </w:rPr>
    </w:lvl>
    <w:lvl w:ilvl="1">
      <w:start w:val="4"/>
      <w:numFmt w:val="decimal"/>
      <w:lvlText w:val="%1.%2"/>
      <w:lvlJc w:val="left"/>
      <w:pPr>
        <w:ind w:left="124" w:firstLine="0"/>
      </w:pPr>
      <w:rPr>
        <w:rFonts w:ascii="Times New Roman" w:eastAsia="Times New Roman" w:hAnsi="Times New Roman" w:cs="Times New Roman"/>
        <w:spacing w:val="-2"/>
        <w:w w:val="100"/>
        <w:sz w:val="28"/>
        <w:szCs w:val="28"/>
        <w:lang w:val="ru-RU"/>
      </w:rPr>
    </w:lvl>
    <w:lvl w:ilvl="2">
      <w:start w:val="1"/>
      <w:numFmt w:val="decimal"/>
      <w:lvlText w:val="%3."/>
      <w:lvlJc w:val="left"/>
      <w:pPr>
        <w:ind w:left="-388" w:firstLine="0"/>
      </w:pPr>
      <w:rPr>
        <w:rFonts w:ascii="Times New Roman" w:eastAsia="Times New Roman" w:hAnsi="Times New Roman" w:cs="Times New Roman"/>
        <w:spacing w:val="-29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009" w:firstLine="0"/>
      </w:pPr>
      <w:rPr>
        <w:lang w:val="ru-RU"/>
      </w:rPr>
    </w:lvl>
    <w:lvl w:ilvl="4">
      <w:numFmt w:val="bullet"/>
      <w:lvlText w:val="•"/>
      <w:lvlJc w:val="left"/>
      <w:pPr>
        <w:ind w:left="2930" w:firstLine="0"/>
      </w:pPr>
      <w:rPr>
        <w:lang w:val="ru-RU"/>
      </w:rPr>
    </w:lvl>
    <w:lvl w:ilvl="5">
      <w:numFmt w:val="bullet"/>
      <w:lvlText w:val="•"/>
      <w:lvlJc w:val="left"/>
      <w:pPr>
        <w:ind w:left="3850" w:firstLine="0"/>
      </w:pPr>
      <w:rPr>
        <w:lang w:val="ru-RU"/>
      </w:rPr>
    </w:lvl>
    <w:lvl w:ilvl="6">
      <w:numFmt w:val="bullet"/>
      <w:lvlText w:val="•"/>
      <w:lvlJc w:val="left"/>
      <w:pPr>
        <w:ind w:left="4771" w:firstLine="0"/>
      </w:pPr>
      <w:rPr>
        <w:lang w:val="ru-RU"/>
      </w:rPr>
    </w:lvl>
    <w:lvl w:ilvl="7">
      <w:numFmt w:val="bullet"/>
      <w:lvlText w:val="•"/>
      <w:lvlJc w:val="left"/>
      <w:pPr>
        <w:ind w:left="5692" w:firstLine="0"/>
      </w:pPr>
      <w:rPr>
        <w:lang w:val="ru-RU"/>
      </w:rPr>
    </w:lvl>
    <w:lvl w:ilvl="8">
      <w:numFmt w:val="bullet"/>
      <w:lvlText w:val="•"/>
      <w:lvlJc w:val="left"/>
      <w:pPr>
        <w:ind w:left="6612" w:firstLine="0"/>
      </w:pPr>
      <w:rPr>
        <w:lang w:val="ru-RU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FF"/>
    <w:rsid w:val="002429FF"/>
    <w:rsid w:val="00D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46DB"/>
  <w15:docId w15:val="{AC5B461C-F44A-48DB-A474-916F4276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en-US"/>
    </w:rPr>
  </w:style>
  <w:style w:type="paragraph" w:styleId="2">
    <w:name w:val="heading 2"/>
    <w:basedOn w:val="a"/>
    <w:qFormat/>
    <w:pPr>
      <w:widowControl w:val="0"/>
      <w:spacing w:after="0" w:line="240" w:lineRule="auto"/>
      <w:ind w:left="279" w:hanging="172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ody Text"/>
    <w:basedOn w:val="a"/>
    <w:qFormat/>
    <w:pPr>
      <w:widowControl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qFormat/>
    <w:pPr>
      <w:widowControl w:val="0"/>
      <w:spacing w:after="0" w:line="256" w:lineRule="exact"/>
      <w:jc w:val="center"/>
    </w:pPr>
    <w:rPr>
      <w:rFonts w:ascii="Times New Roman" w:eastAsia="Times New Roman" w:hAnsi="Times New Roman" w:cs="Times New Roman"/>
      <w:lang w:val="ru-RU"/>
    </w:rPr>
  </w:style>
  <w:style w:type="character" w:customStyle="1" w:styleId="a5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1687</Words>
  <Characters>9617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Vsevolod Trusov</cp:lastModifiedBy>
  <cp:revision>10</cp:revision>
  <dcterms:created xsi:type="dcterms:W3CDTF">2020-06-06T19:37:00Z</dcterms:created>
  <dcterms:modified xsi:type="dcterms:W3CDTF">2023-06-14T21:04:00Z</dcterms:modified>
</cp:coreProperties>
</file>