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AF" w:rsidRDefault="005E05AF" w:rsidP="00C26F4A">
      <w:pPr>
        <w:ind w:firstLine="851"/>
        <w:jc w:val="center"/>
      </w:pPr>
      <w:r>
        <w:t>ПРОТОКОЛ ИСПЫТАНИЙ</w:t>
      </w:r>
    </w:p>
    <w:p w:rsidR="00C26F4A" w:rsidRDefault="00C26F4A" w:rsidP="00C26F4A">
      <w:pPr>
        <w:ind w:firstLine="851"/>
        <w:jc w:val="center"/>
      </w:pPr>
    </w:p>
    <w:p w:rsidR="005E05AF" w:rsidRDefault="005E05AF" w:rsidP="00C26F4A">
      <w:pPr>
        <w:ind w:firstLine="851"/>
      </w:pPr>
      <w:r>
        <w:t xml:space="preserve"> 1 Наименование объекта испытаний</w:t>
      </w:r>
    </w:p>
    <w:p w:rsidR="005E05AF" w:rsidRDefault="005E05AF" w:rsidP="00C26F4A">
      <w:pPr>
        <w:ind w:firstLine="851"/>
      </w:pPr>
      <w:r>
        <w:t>Наименование объекта испытаний – «</w:t>
      </w:r>
      <w:r w:rsidR="00C26F4A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>
        <w:t xml:space="preserve">». </w:t>
      </w:r>
    </w:p>
    <w:p w:rsidR="00C26F4A" w:rsidRDefault="00C26F4A" w:rsidP="00C26F4A">
      <w:pPr>
        <w:ind w:firstLine="851"/>
      </w:pPr>
    </w:p>
    <w:p w:rsidR="00C26F4A" w:rsidRDefault="005E05AF" w:rsidP="00C26F4A">
      <w:pPr>
        <w:ind w:firstLine="708"/>
      </w:pPr>
      <w:r>
        <w:t xml:space="preserve">2 Список должностных лиц, проводивших испытания </w:t>
      </w:r>
    </w:p>
    <w:p w:rsidR="00C26F4A" w:rsidRDefault="00C26F4A" w:rsidP="00C26F4A">
      <w:pPr>
        <w:ind w:firstLine="708"/>
      </w:pPr>
      <w:r>
        <w:t>Комиссия в составе: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655"/>
      </w:tblGrid>
      <w:tr w:rsidR="00C26F4A" w:rsidTr="00C26F4A">
        <w:tc>
          <w:tcPr>
            <w:tcW w:w="3256" w:type="dxa"/>
          </w:tcPr>
          <w:p w:rsidR="00C26F4A" w:rsidRDefault="00C26F4A" w:rsidP="00C26F4A">
            <w:r>
              <w:t xml:space="preserve">Председатель </w:t>
            </w:r>
          </w:p>
          <w:p w:rsidR="00C26F4A" w:rsidRDefault="00C26F4A" w:rsidP="00C26F4A">
            <w:r>
              <w:t>комиссии</w:t>
            </w:r>
          </w:p>
        </w:tc>
        <w:tc>
          <w:tcPr>
            <w:tcW w:w="6655" w:type="dxa"/>
          </w:tcPr>
          <w:p w:rsidR="00C26F4A" w:rsidRDefault="00C26F4A" w:rsidP="00C26F4A">
            <w:pPr>
              <w:jc w:val="center"/>
              <w:rPr>
                <w:lang w:val="en-US"/>
              </w:rPr>
            </w:pPr>
          </w:p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  <w:p w:rsidR="00C26F4A" w:rsidRDefault="00C26F4A" w:rsidP="00C26F4A"/>
        </w:tc>
      </w:tr>
      <w:tr w:rsidR="00C26F4A" w:rsidTr="00C26F4A">
        <w:tc>
          <w:tcPr>
            <w:tcW w:w="3256" w:type="dxa"/>
          </w:tcPr>
          <w:p w:rsidR="00C26F4A" w:rsidRDefault="00C26F4A" w:rsidP="00C26F4A">
            <w:r>
              <w:t xml:space="preserve">Заместитель </w:t>
            </w:r>
          </w:p>
          <w:p w:rsidR="00C26F4A" w:rsidRDefault="00C26F4A" w:rsidP="00C26F4A">
            <w:r>
              <w:t xml:space="preserve">председателя </w:t>
            </w:r>
          </w:p>
          <w:p w:rsidR="00C26F4A" w:rsidRDefault="00C26F4A" w:rsidP="00C26F4A">
            <w:r>
              <w:t xml:space="preserve">комиссии </w:t>
            </w:r>
          </w:p>
          <w:p w:rsidR="00C26F4A" w:rsidRDefault="00C26F4A" w:rsidP="00C26F4A"/>
        </w:tc>
        <w:tc>
          <w:tcPr>
            <w:tcW w:w="6655" w:type="dxa"/>
          </w:tcPr>
          <w:p w:rsidR="00C26F4A" w:rsidRDefault="00C26F4A" w:rsidP="00C26F4A">
            <w:pPr>
              <w:jc w:val="center"/>
              <w:rPr>
                <w:lang w:val="en-US"/>
              </w:rPr>
            </w:pPr>
          </w:p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</w:tc>
      </w:tr>
      <w:tr w:rsidR="00C26F4A" w:rsidTr="00C26F4A">
        <w:tc>
          <w:tcPr>
            <w:tcW w:w="3256" w:type="dxa"/>
          </w:tcPr>
          <w:p w:rsidR="00C26F4A" w:rsidRDefault="00C26F4A" w:rsidP="00C26F4A">
            <w:r>
              <w:t xml:space="preserve">Члены комиссии: </w:t>
            </w:r>
          </w:p>
          <w:p w:rsidR="00C26F4A" w:rsidRDefault="00C26F4A" w:rsidP="00C26F4A"/>
        </w:tc>
        <w:tc>
          <w:tcPr>
            <w:tcW w:w="6655" w:type="dxa"/>
          </w:tcPr>
          <w:p w:rsidR="00C26F4A" w:rsidRDefault="00C26F4A" w:rsidP="00C26F4A">
            <w:pPr>
              <w:jc w:val="center"/>
              <w:rPr>
                <w:lang w:val="en-US"/>
              </w:rPr>
            </w:pPr>
          </w:p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  <w:p w:rsidR="00C26F4A" w:rsidRDefault="00C26F4A" w:rsidP="00C26F4A"/>
        </w:tc>
      </w:tr>
      <w:tr w:rsidR="00C26F4A" w:rsidTr="00C26F4A">
        <w:tc>
          <w:tcPr>
            <w:tcW w:w="3256" w:type="dxa"/>
          </w:tcPr>
          <w:p w:rsidR="00C26F4A" w:rsidRDefault="00C26F4A" w:rsidP="00C26F4A"/>
        </w:tc>
        <w:tc>
          <w:tcPr>
            <w:tcW w:w="6655" w:type="dxa"/>
          </w:tcPr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</w:tc>
      </w:tr>
      <w:tr w:rsidR="00C26F4A" w:rsidTr="00C26F4A">
        <w:tc>
          <w:tcPr>
            <w:tcW w:w="3256" w:type="dxa"/>
          </w:tcPr>
          <w:p w:rsidR="00C26F4A" w:rsidRDefault="00C26F4A" w:rsidP="00C26F4A"/>
        </w:tc>
        <w:tc>
          <w:tcPr>
            <w:tcW w:w="6655" w:type="dxa"/>
          </w:tcPr>
          <w:p w:rsidR="00C26F4A" w:rsidRDefault="00C26F4A" w:rsidP="00C26F4A">
            <w:pPr>
              <w:jc w:val="center"/>
              <w:rPr>
                <w:lang w:val="en-US"/>
              </w:rPr>
            </w:pPr>
          </w:p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</w:tc>
      </w:tr>
      <w:tr w:rsidR="00C26F4A" w:rsidTr="00C26F4A">
        <w:tc>
          <w:tcPr>
            <w:tcW w:w="3256" w:type="dxa"/>
          </w:tcPr>
          <w:p w:rsidR="00C26F4A" w:rsidRDefault="00C26F4A" w:rsidP="00C26F4A"/>
        </w:tc>
        <w:tc>
          <w:tcPr>
            <w:tcW w:w="6655" w:type="dxa"/>
          </w:tcPr>
          <w:p w:rsidR="00C26F4A" w:rsidRDefault="00C26F4A" w:rsidP="00C26F4A">
            <w:pPr>
              <w:jc w:val="center"/>
              <w:rPr>
                <w:lang w:val="en-US"/>
              </w:rPr>
            </w:pPr>
          </w:p>
          <w:p w:rsidR="00C26F4A" w:rsidRPr="00C26F4A" w:rsidRDefault="00C26F4A" w:rsidP="00C2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____________________________________________</w:t>
            </w:r>
          </w:p>
          <w:p w:rsidR="00C26F4A" w:rsidRDefault="00C26F4A" w:rsidP="00C26F4A">
            <w:pPr>
              <w:jc w:val="center"/>
            </w:pPr>
            <w:r>
              <w:t>(должность, ФИО)</w:t>
            </w:r>
          </w:p>
          <w:p w:rsidR="00C26F4A" w:rsidRDefault="00C26F4A" w:rsidP="00C26F4A"/>
        </w:tc>
      </w:tr>
    </w:tbl>
    <w:p w:rsidR="00C26F4A" w:rsidRDefault="00C26F4A" w:rsidP="00C26F4A">
      <w:pPr>
        <w:ind w:firstLine="851"/>
      </w:pPr>
      <w:r>
        <w:t xml:space="preserve"> </w:t>
      </w:r>
    </w:p>
    <w:p w:rsidR="00C26F4A" w:rsidRDefault="005E05AF" w:rsidP="00C26F4A">
      <w:pPr>
        <w:ind w:firstLine="851"/>
      </w:pPr>
      <w:r>
        <w:t xml:space="preserve">3 Цель испытаний </w:t>
      </w:r>
    </w:p>
    <w:p w:rsidR="00913434" w:rsidRDefault="00913434" w:rsidP="00913434">
      <w:pPr>
        <w:ind w:firstLine="851"/>
      </w:pPr>
      <w:r>
        <w:t>Цель проведения испытаний проверка</w:t>
      </w:r>
      <w:r>
        <w:t xml:space="preserve"> взаимодействия подсистем Системы</w:t>
      </w:r>
      <w:r w:rsidRPr="00913434">
        <w:t xml:space="preserve">, </w:t>
      </w:r>
      <w:r>
        <w:t>про</w:t>
      </w:r>
      <w:r>
        <w:t xml:space="preserve">верка работоспособности Системы, </w:t>
      </w:r>
      <w:r>
        <w:t xml:space="preserve">проверка соответствия Системы </w:t>
      </w:r>
      <w:proofErr w:type="gramStart"/>
      <w:r>
        <w:t>требованиям</w:t>
      </w:r>
      <w:proofErr w:type="gramEnd"/>
      <w:r>
        <w:t xml:space="preserve"> приведенным в </w:t>
      </w:r>
      <w:r>
        <w:t xml:space="preserve">документе «Техническое задание» и </w:t>
      </w:r>
      <w:r>
        <w:t>проверка готовности Системы к проведению опытной эксплуатации или приемочных испытаний на территории Заказчика</w:t>
      </w:r>
      <w:r>
        <w:t>.</w:t>
      </w:r>
    </w:p>
    <w:p w:rsidR="00C26F4A" w:rsidRDefault="005E05AF" w:rsidP="00913434">
      <w:pPr>
        <w:ind w:firstLine="851"/>
      </w:pPr>
      <w:r>
        <w:lastRenderedPageBreak/>
        <w:t xml:space="preserve">4 Сведения о продолжительности испытаний </w:t>
      </w:r>
    </w:p>
    <w:p w:rsidR="00C26F4A" w:rsidRDefault="005E05AF" w:rsidP="00C26F4A">
      <w:pPr>
        <w:ind w:firstLine="851"/>
      </w:pPr>
      <w:r>
        <w:t xml:space="preserve">Приемосдаточные испытания должны проводиться на объекте заказчика в сроки с 01.06.2020 по </w:t>
      </w:r>
      <w:r w:rsidR="00C26F4A" w:rsidRPr="00C26F4A">
        <w:t>10</w:t>
      </w:r>
      <w:r>
        <w:t xml:space="preserve">.06.2020. </w:t>
      </w:r>
    </w:p>
    <w:p w:rsidR="00C26F4A" w:rsidRDefault="005E05AF" w:rsidP="00C26F4A">
      <w:pPr>
        <w:ind w:firstLine="851"/>
      </w:pPr>
      <w:r>
        <w:t xml:space="preserve">Приемосдаточные испытания программы должны проводиться согласно разработанной (не позднее указанного срока) исполнителем и согласованной с заказчиком Программы, и методики испытаний. </w:t>
      </w:r>
    </w:p>
    <w:p w:rsidR="00C26F4A" w:rsidRDefault="005E05AF" w:rsidP="00C26F4A">
      <w:pPr>
        <w:ind w:firstLine="851"/>
      </w:pPr>
      <w:r>
        <w:t xml:space="preserve">Ход проведения приемо-сдаточных испытаний заказчик и исполнитель документируют в Протоколе испытаний. </w:t>
      </w:r>
    </w:p>
    <w:p w:rsidR="00C26F4A" w:rsidRDefault="00C26F4A" w:rsidP="00C26F4A">
      <w:pPr>
        <w:ind w:firstLine="851"/>
      </w:pPr>
    </w:p>
    <w:p w:rsidR="00C26F4A" w:rsidRDefault="005E05AF" w:rsidP="00C26F4A">
      <w:pPr>
        <w:ind w:firstLine="851"/>
      </w:pPr>
      <w:r>
        <w:t xml:space="preserve">5 Перечень пунктов «Программы испытаний», по которым проведены испытания </w:t>
      </w:r>
    </w:p>
    <w:p w:rsidR="00C26F4A" w:rsidRDefault="005E05AF" w:rsidP="00C26F4A">
      <w:pPr>
        <w:ind w:firstLine="851"/>
      </w:pPr>
      <w:r>
        <w:t xml:space="preserve">Испытания проводятся в два этапа: </w:t>
      </w:r>
    </w:p>
    <w:p w:rsidR="00C26F4A" w:rsidRDefault="005E05AF" w:rsidP="00C26F4A">
      <w:pPr>
        <w:ind w:firstLine="851"/>
      </w:pPr>
      <w:r>
        <w:sym w:font="Symbol" w:char="F02D"/>
      </w:r>
      <w:r>
        <w:t xml:space="preserve"> ознакомительный; </w:t>
      </w:r>
    </w:p>
    <w:p w:rsidR="00C26F4A" w:rsidRDefault="005E05AF" w:rsidP="00C26F4A">
      <w:pPr>
        <w:ind w:firstLine="851"/>
      </w:pPr>
      <w:r>
        <w:sym w:font="Symbol" w:char="F02D"/>
      </w:r>
      <w:r>
        <w:t xml:space="preserve"> испытания. </w:t>
      </w:r>
    </w:p>
    <w:p w:rsidR="00C26F4A" w:rsidRDefault="005E05AF" w:rsidP="00C26F4A">
      <w:pPr>
        <w:ind w:firstLine="851"/>
      </w:pPr>
      <w:r>
        <w:t xml:space="preserve">Перечень проверок, проводимых на 1-м этапе испытаний, должен включать в себя: </w:t>
      </w:r>
    </w:p>
    <w:p w:rsidR="00C26F4A" w:rsidRDefault="005E05AF" w:rsidP="00C26F4A">
      <w:pPr>
        <w:ind w:firstLine="851"/>
      </w:pPr>
      <w:r>
        <w:sym w:font="Symbol" w:char="F02D"/>
      </w:r>
      <w:r>
        <w:t xml:space="preserve"> проверку комплектности программной документации; </w:t>
      </w:r>
    </w:p>
    <w:p w:rsidR="00C26F4A" w:rsidRDefault="005E05AF" w:rsidP="00C26F4A">
      <w:pPr>
        <w:ind w:firstLine="851"/>
      </w:pPr>
      <w:r>
        <w:sym w:font="Symbol" w:char="F02D"/>
      </w:r>
      <w:r>
        <w:t xml:space="preserve"> проверку комплектности состава технических и программных средств. </w:t>
      </w:r>
    </w:p>
    <w:p w:rsidR="00C26F4A" w:rsidRDefault="005E05AF" w:rsidP="00C26F4A">
      <w:pPr>
        <w:ind w:firstLine="851"/>
      </w:pPr>
      <w:r>
        <w:t>Методика проведения проверок, входящих в перечень по 1-му этапу испытаний, изложена в документе Техническое задание.</w:t>
      </w:r>
    </w:p>
    <w:p w:rsidR="00C26F4A" w:rsidRDefault="005E05AF" w:rsidP="00C26F4A">
      <w:pPr>
        <w:ind w:firstLine="851"/>
      </w:pPr>
      <w:r>
        <w:t xml:space="preserve"> Перечень проверок, проводимых на 2-м этапе испытаний, должен включать в себя: </w:t>
      </w:r>
    </w:p>
    <w:p w:rsidR="00C26F4A" w:rsidRDefault="005E05AF" w:rsidP="00C26F4A">
      <w:pPr>
        <w:ind w:firstLine="851"/>
      </w:pPr>
      <w:r>
        <w:sym w:font="Symbol" w:char="F02D"/>
      </w:r>
      <w:r>
        <w:t xml:space="preserve"> проверку соответствия технических характеристик программы;</w:t>
      </w:r>
    </w:p>
    <w:p w:rsidR="00C26F4A" w:rsidRDefault="005E05AF" w:rsidP="00C26F4A">
      <w:pPr>
        <w:ind w:firstLine="851"/>
      </w:pPr>
      <w:r>
        <w:t xml:space="preserve"> </w:t>
      </w:r>
      <w:r>
        <w:sym w:font="Symbol" w:char="F02D"/>
      </w:r>
      <w:r>
        <w:t xml:space="preserve"> проверку степени выполнения требований функционального назначения программы.</w:t>
      </w:r>
    </w:p>
    <w:p w:rsidR="00C26F4A" w:rsidRDefault="005E05AF" w:rsidP="00C26F4A">
      <w:pPr>
        <w:ind w:firstLine="851"/>
      </w:pPr>
      <w:r>
        <w:t xml:space="preserve"> Методика проведения проверок, входящих в перечень по 2-му этапу испытаний, изложена в документе Программа и методика проведения испытаний. </w:t>
      </w:r>
    </w:p>
    <w:p w:rsidR="00C26F4A" w:rsidRDefault="00C26F4A" w:rsidP="00C26F4A">
      <w:pPr>
        <w:ind w:firstLine="851"/>
      </w:pPr>
    </w:p>
    <w:p w:rsidR="00C26F4A" w:rsidRDefault="005E05AF" w:rsidP="00C26F4A">
      <w:pPr>
        <w:ind w:firstLine="851"/>
      </w:pPr>
      <w:r>
        <w:t>6 Сведения об отказах, сбоях и аварийных ситуациях, возникающих при испытаниях</w:t>
      </w:r>
    </w:p>
    <w:p w:rsidR="00C26F4A" w:rsidRDefault="005E05AF" w:rsidP="00C26F4A">
      <w:pPr>
        <w:ind w:firstLine="851"/>
      </w:pPr>
      <w:r>
        <w:t xml:space="preserve"> Описываются сведения об отказах и сбоях системы, аварийных ситуациях, необходимости изменений требований к подсистемам и функциям, замечания по удобству работы с системой (см. табл. 1). </w:t>
      </w:r>
    </w:p>
    <w:p w:rsidR="00640B5F" w:rsidRDefault="00640B5F" w:rsidP="00C26F4A">
      <w:pPr>
        <w:ind w:firstLine="851"/>
      </w:pPr>
    </w:p>
    <w:p w:rsidR="00640B5F" w:rsidRDefault="00640B5F" w:rsidP="00C26F4A">
      <w:pPr>
        <w:ind w:firstLine="851"/>
      </w:pPr>
    </w:p>
    <w:p w:rsidR="00640B5F" w:rsidRDefault="00640B5F" w:rsidP="00C26F4A">
      <w:pPr>
        <w:ind w:firstLine="851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40B5F" w:rsidTr="00640B5F">
        <w:tc>
          <w:tcPr>
            <w:tcW w:w="2477" w:type="dxa"/>
          </w:tcPr>
          <w:p w:rsidR="00640B5F" w:rsidRDefault="00640B5F" w:rsidP="00C26F4A">
            <w:r>
              <w:lastRenderedPageBreak/>
              <w:t>Номер испытания</w:t>
            </w:r>
          </w:p>
        </w:tc>
        <w:tc>
          <w:tcPr>
            <w:tcW w:w="2478" w:type="dxa"/>
          </w:tcPr>
          <w:p w:rsidR="00640B5F" w:rsidRDefault="00640B5F" w:rsidP="00C26F4A">
            <w:r>
              <w:t>Название испытания</w:t>
            </w:r>
          </w:p>
        </w:tc>
        <w:tc>
          <w:tcPr>
            <w:tcW w:w="2478" w:type="dxa"/>
          </w:tcPr>
          <w:p w:rsidR="00640B5F" w:rsidRDefault="00640B5F" w:rsidP="00C26F4A">
            <w:r>
              <w:t>Сведения об отказах, сбоях и аварийных ситуациях, возникающих при испытаниях</w:t>
            </w:r>
          </w:p>
        </w:tc>
        <w:tc>
          <w:tcPr>
            <w:tcW w:w="2478" w:type="dxa"/>
          </w:tcPr>
          <w:p w:rsidR="00640B5F" w:rsidRDefault="00640B5F" w:rsidP="00C26F4A">
            <w:r>
              <w:t>Степень тяжести</w:t>
            </w:r>
          </w:p>
        </w:tc>
      </w:tr>
      <w:tr w:rsidR="00640B5F" w:rsidTr="00640B5F">
        <w:tc>
          <w:tcPr>
            <w:tcW w:w="2477" w:type="dxa"/>
          </w:tcPr>
          <w:p w:rsidR="00640B5F" w:rsidRDefault="00640B5F" w:rsidP="00C26F4A">
            <w:r>
              <w:t>1</w:t>
            </w:r>
          </w:p>
        </w:tc>
        <w:tc>
          <w:tcPr>
            <w:tcW w:w="2478" w:type="dxa"/>
          </w:tcPr>
          <w:p w:rsidR="00640B5F" w:rsidRPr="00640B5F" w:rsidRDefault="00640B5F" w:rsidP="00C26F4A">
            <w:r>
              <w:t xml:space="preserve">Загрузка данных из поврежденного </w:t>
            </w:r>
            <w:r>
              <w:rPr>
                <w:lang w:val="en-US"/>
              </w:rPr>
              <w:t>csv</w:t>
            </w:r>
            <w:r w:rsidRPr="00640B5F">
              <w:t xml:space="preserve"> </w:t>
            </w:r>
            <w:r>
              <w:t>или с наличием некорректных данных</w:t>
            </w:r>
          </w:p>
        </w:tc>
        <w:tc>
          <w:tcPr>
            <w:tcW w:w="2478" w:type="dxa"/>
          </w:tcPr>
          <w:p w:rsidR="00640B5F" w:rsidRDefault="00640B5F" w:rsidP="00C26F4A">
            <w:r>
              <w:t xml:space="preserve">Вывод сообщения о некорректном виде исходных данных, обработка ошибочных строк и при возможности их пропуск </w:t>
            </w:r>
          </w:p>
        </w:tc>
        <w:tc>
          <w:tcPr>
            <w:tcW w:w="2478" w:type="dxa"/>
          </w:tcPr>
          <w:p w:rsidR="00640B5F" w:rsidRDefault="00640B5F" w:rsidP="00C26F4A">
            <w:r>
              <w:t>Тяжелая</w:t>
            </w:r>
          </w:p>
        </w:tc>
      </w:tr>
      <w:tr w:rsidR="00640B5F" w:rsidTr="00640B5F">
        <w:tc>
          <w:tcPr>
            <w:tcW w:w="2477" w:type="dxa"/>
          </w:tcPr>
          <w:p w:rsidR="00640B5F" w:rsidRDefault="00640B5F" w:rsidP="00C26F4A">
            <w:r>
              <w:t>2</w:t>
            </w:r>
          </w:p>
        </w:tc>
        <w:tc>
          <w:tcPr>
            <w:tcW w:w="2478" w:type="dxa"/>
          </w:tcPr>
          <w:p w:rsidR="00640B5F" w:rsidRDefault="00640B5F" w:rsidP="00C26F4A">
            <w:r>
              <w:t>Сохранение полученных данных</w:t>
            </w:r>
            <w:r w:rsidR="004A7CCB">
              <w:t xml:space="preserve"> в файл</w:t>
            </w:r>
          </w:p>
        </w:tc>
        <w:tc>
          <w:tcPr>
            <w:tcW w:w="2478" w:type="dxa"/>
          </w:tcPr>
          <w:p w:rsidR="00640B5F" w:rsidRDefault="004A7CCB" w:rsidP="00C26F4A">
            <w:r>
              <w:t>Скорость выполнения испытания превышает более 1 минуты на файл размеров 300 Мб</w:t>
            </w:r>
          </w:p>
        </w:tc>
        <w:tc>
          <w:tcPr>
            <w:tcW w:w="2478" w:type="dxa"/>
          </w:tcPr>
          <w:p w:rsidR="00640B5F" w:rsidRDefault="004A7CCB" w:rsidP="00C26F4A">
            <w:r>
              <w:t>Средняя</w:t>
            </w:r>
          </w:p>
        </w:tc>
      </w:tr>
      <w:tr w:rsidR="00640B5F" w:rsidTr="00640B5F">
        <w:tc>
          <w:tcPr>
            <w:tcW w:w="2477" w:type="dxa"/>
          </w:tcPr>
          <w:p w:rsidR="00640B5F" w:rsidRDefault="004A7CCB" w:rsidP="00C26F4A">
            <w:r>
              <w:t>3</w:t>
            </w:r>
          </w:p>
        </w:tc>
        <w:tc>
          <w:tcPr>
            <w:tcW w:w="2478" w:type="dxa"/>
          </w:tcPr>
          <w:p w:rsidR="00640B5F" w:rsidRDefault="004A7CCB" w:rsidP="00C26F4A">
            <w:r>
              <w:t>Проверка загрузку объемных входных данных</w:t>
            </w:r>
          </w:p>
        </w:tc>
        <w:tc>
          <w:tcPr>
            <w:tcW w:w="2478" w:type="dxa"/>
          </w:tcPr>
          <w:p w:rsidR="00640B5F" w:rsidRDefault="004A7CCB" w:rsidP="00C26F4A">
            <w:r>
              <w:t>Возможность возникновения ошибки из-за недостатка системных ресурсов</w:t>
            </w:r>
          </w:p>
        </w:tc>
        <w:tc>
          <w:tcPr>
            <w:tcW w:w="2478" w:type="dxa"/>
          </w:tcPr>
          <w:p w:rsidR="00640B5F" w:rsidRDefault="004A7CCB" w:rsidP="00C26F4A">
            <w:r>
              <w:t>Легкая</w:t>
            </w:r>
          </w:p>
        </w:tc>
      </w:tr>
    </w:tbl>
    <w:p w:rsidR="00C26F4A" w:rsidRDefault="00C26F4A" w:rsidP="00C26F4A">
      <w:pPr>
        <w:ind w:firstLine="851"/>
      </w:pPr>
    </w:p>
    <w:p w:rsidR="004A7CCB" w:rsidRDefault="005E05AF" w:rsidP="00C26F4A">
      <w:pPr>
        <w:ind w:firstLine="851"/>
      </w:pPr>
      <w:r>
        <w:t xml:space="preserve">7 Выводы и рекомендации </w:t>
      </w:r>
    </w:p>
    <w:p w:rsidR="00616B5B" w:rsidRPr="005E05AF" w:rsidRDefault="005E05AF" w:rsidP="00C26F4A">
      <w:pPr>
        <w:ind w:firstLine="851"/>
      </w:pPr>
      <w:r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исполнителем. 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 При проведении испытаний заказчик должен обеспечить соблюдение требований безопасности, установленных ГОСТ 12.2.007.0–75,</w:t>
      </w:r>
      <w:bookmarkStart w:id="0" w:name="_GoBack"/>
      <w:bookmarkEnd w:id="0"/>
      <w:r>
        <w:t xml:space="preserve">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sectPr w:rsidR="00616B5B" w:rsidRPr="005E05AF" w:rsidSect="00D77D10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C9A" w:rsidRDefault="00DD3C9A" w:rsidP="00C46682">
      <w:pPr>
        <w:spacing w:after="0"/>
      </w:pPr>
      <w:r>
        <w:separator/>
      </w:r>
    </w:p>
  </w:endnote>
  <w:endnote w:type="continuationSeparator" w:id="0">
    <w:p w:rsidR="00DD3C9A" w:rsidRDefault="00DD3C9A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647413"/>
      <w:docPartObj>
        <w:docPartGallery w:val="Page Numbers (Bottom of Page)"/>
        <w:docPartUnique/>
      </w:docPartObj>
    </w:sdtPr>
    <w:sdtEndPr/>
    <w:sdtContent>
      <w:p w:rsidR="00D77D10" w:rsidRDefault="00D77D10" w:rsidP="00D77D10">
        <w:pPr>
          <w:pStyle w:val="af3"/>
          <w:jc w:val="center"/>
        </w:pPr>
      </w:p>
      <w:p w:rsidR="004C79B0" w:rsidRDefault="00DD3C9A" w:rsidP="00D77D10">
        <w:pPr>
          <w:pStyle w:val="af3"/>
          <w:jc w:val="center"/>
        </w:pP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C9A" w:rsidRDefault="00DD3C9A" w:rsidP="00C46682">
      <w:pPr>
        <w:spacing w:after="0"/>
      </w:pPr>
      <w:r>
        <w:separator/>
      </w:r>
    </w:p>
  </w:footnote>
  <w:footnote w:type="continuationSeparator" w:id="0">
    <w:p w:rsidR="00DD3C9A" w:rsidRDefault="00DD3C9A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50AE9"/>
    <w:rsid w:val="00373641"/>
    <w:rsid w:val="00387C0B"/>
    <w:rsid w:val="003E03AA"/>
    <w:rsid w:val="003F354A"/>
    <w:rsid w:val="00401E0E"/>
    <w:rsid w:val="004829DE"/>
    <w:rsid w:val="004A7CCB"/>
    <w:rsid w:val="004B1A92"/>
    <w:rsid w:val="004C79B0"/>
    <w:rsid w:val="004F020D"/>
    <w:rsid w:val="00557D32"/>
    <w:rsid w:val="0056260E"/>
    <w:rsid w:val="00584A7D"/>
    <w:rsid w:val="00584ADC"/>
    <w:rsid w:val="005E05AF"/>
    <w:rsid w:val="00602683"/>
    <w:rsid w:val="00606CCA"/>
    <w:rsid w:val="00616B5B"/>
    <w:rsid w:val="00640B5F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13434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22788"/>
    <w:rsid w:val="00C26F4A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77D10"/>
    <w:rsid w:val="00D84357"/>
    <w:rsid w:val="00D84F06"/>
    <w:rsid w:val="00D8731A"/>
    <w:rsid w:val="00DD3C9A"/>
    <w:rsid w:val="00DD5734"/>
    <w:rsid w:val="00E24AF6"/>
    <w:rsid w:val="00E539B4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2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3918E-4CE8-4C5E-93E3-8B251D2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63</cp:revision>
  <cp:lastPrinted>2015-05-28T16:07:00Z</cp:lastPrinted>
  <dcterms:created xsi:type="dcterms:W3CDTF">2016-03-21T10:27:00Z</dcterms:created>
  <dcterms:modified xsi:type="dcterms:W3CDTF">2020-06-09T21:39:00Z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