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53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17.jpg" ContentType="image/jpeg"/>
  <Override PartName="/word/media/rId22.jpg" ContentType="image/jpeg"/>
  <Override PartName="/word/media/rId26.jpg" ContentType="image/jpeg"/>
  <Override PartName="/word/media/rId31.jpg" ContentType="image/jpeg"/>
  <Override PartName="/word/media/rId35.jpg" ContentType="image/jpeg"/>
  <Override PartName="/word/media/rId40.jpg" ContentType="image/jpeg"/>
  <Override PartName="/word/media/rId44.jpg" ContentType="image/jpeg"/>
  <Override PartName="/word/media/rId4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№8</w:t>
      </w:r>
    </w:p>
    <w:p>
      <w:pPr>
        <w:pStyle w:val="Subtitle"/>
      </w:pPr>
      <w:r>
        <w:t xml:space="preserve">Дисциплина: Computer Skills for Scientific Writing</w:t>
      </w:r>
    </w:p>
    <w:p>
      <w:pPr>
        <w:pStyle w:val="Author"/>
      </w:pPr>
      <w:r>
        <w:t xml:space="preserve">Нирдоши Всеволод Раджендер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76" w:name="X824e2a4036ba9bf1a21ba0fd0432efe1ffe9902"/>
    <w:p>
      <w:pPr>
        <w:pStyle w:val="Heading1"/>
      </w:pPr>
      <w:r>
        <w:rPr>
          <w:b/>
          <w:bCs/>
        </w:rPr>
        <w:t xml:space="preserve">Лабораторная работа №8. Графика в LaTeX с использованием TikZ</w:t>
      </w:r>
    </w:p>
    <w:bookmarkStart w:id="9" w:name="тема"/>
    <w:p>
      <w:pPr>
        <w:pStyle w:val="Heading2"/>
      </w:pPr>
      <w:r>
        <w:rPr>
          <w:b/>
          <w:bCs/>
        </w:rPr>
        <w:t xml:space="preserve">Тема</w:t>
      </w:r>
    </w:p>
    <w:p>
      <w:pPr>
        <w:pStyle w:val="FirstParagraph"/>
      </w:pPr>
      <w:r>
        <w:t xml:space="preserve">Построение графических объектов в системе LaTeX с использованием пакета</w:t>
      </w:r>
      <w:r>
        <w:t xml:space="preserve"> </w:t>
      </w:r>
      <w:r>
        <w:rPr>
          <w:rStyle w:val="VerbatimChar"/>
        </w:rPr>
        <w:t xml:space="preserve">tikz</w:t>
      </w:r>
      <w:r>
        <w:t xml:space="preserve">: линии и пути, узлы и подписи, графики функций, циклы и рекурсивные фигуры.</w:t>
      </w:r>
    </w:p>
    <w:bookmarkEnd w:id="9"/>
    <w:bookmarkStart w:id="10" w:name="цель-работы"/>
    <w:p>
      <w:pPr>
        <w:pStyle w:val="Heading2"/>
      </w:pP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Изучить основы построения графики в LaTeX с помощью пакета</w:t>
      </w:r>
      <w:r>
        <w:t xml:space="preserve"> </w:t>
      </w:r>
      <w:r>
        <w:rPr>
          <w:rStyle w:val="VerbatimChar"/>
        </w:rPr>
        <w:t xml:space="preserve">tikz</w:t>
      </w:r>
      <w:r>
        <w:t xml:space="preserve">, освоить задание путей, узлов, подписей и стилей, а также реализовать примеры и упражнения с использованием циклов и рекурсивных функций (</w:t>
      </w:r>
      <w:r>
        <w:rPr>
          <w:rStyle w:val="VerbatimChar"/>
        </w:rPr>
        <w:t xml:space="preserve">tikzmath</w:t>
      </w:r>
      <w:r>
        <w:t xml:space="preserve">).</w:t>
      </w:r>
    </w:p>
    <w:bookmarkEnd w:id="10"/>
    <w:bookmarkStart w:id="11" w:name="задачи"/>
    <w:p>
      <w:pPr>
        <w:pStyle w:val="Heading2"/>
      </w:pPr>
      <w:r>
        <w:rPr>
          <w:b/>
          <w:bCs/>
        </w:rP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Освоить окружение</w:t>
      </w:r>
      <w:r>
        <w:t xml:space="preserve"> </w:t>
      </w:r>
      <w:r>
        <w:rPr>
          <w:rStyle w:val="VerbatimChar"/>
        </w:rPr>
        <w:t xml:space="preserve">tikzpicture</w:t>
      </w:r>
      <w:r>
        <w:t xml:space="preserve"> </w:t>
      </w:r>
      <w:r>
        <w:t xml:space="preserve">и базовые типы путей.</w:t>
      </w:r>
    </w:p>
    <w:p>
      <w:pPr>
        <w:pStyle w:val="Compact"/>
        <w:numPr>
          <w:ilvl w:val="0"/>
          <w:numId w:val="1001"/>
        </w:numPr>
      </w:pPr>
      <w:r>
        <w:t xml:space="preserve">Научиться строить кривые и управлять формой линий.</w:t>
      </w:r>
    </w:p>
    <w:p>
      <w:pPr>
        <w:pStyle w:val="Compact"/>
        <w:numPr>
          <w:ilvl w:val="0"/>
          <w:numId w:val="1001"/>
        </w:numPr>
      </w:pPr>
      <w:r>
        <w:t xml:space="preserve">Использовать узлы (</w:t>
      </w:r>
      <w:r>
        <w:rPr>
          <w:rStyle w:val="VerbatimChar"/>
        </w:rPr>
        <w:t xml:space="preserve">node</w:t>
      </w:r>
      <w:r>
        <w:t xml:space="preserve">) и подписи.</w:t>
      </w:r>
    </w:p>
    <w:p>
      <w:pPr>
        <w:pStyle w:val="Compact"/>
        <w:numPr>
          <w:ilvl w:val="0"/>
          <w:numId w:val="1001"/>
        </w:numPr>
      </w:pPr>
      <w:r>
        <w:t xml:space="preserve">Работать с координатами, стилями и стрелками.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функций.</w:t>
      </w:r>
    </w:p>
    <w:p>
      <w:pPr>
        <w:pStyle w:val="Compact"/>
        <w:numPr>
          <w:ilvl w:val="0"/>
          <w:numId w:val="1001"/>
        </w:numPr>
      </w:pPr>
      <w:r>
        <w:t xml:space="preserve">Применить циклы</w:t>
      </w:r>
      <w:r>
        <w:t xml:space="preserve"> </w:t>
      </w:r>
      <w:r>
        <w:rPr>
          <w:rStyle w:val="VerbatimChar"/>
        </w:rPr>
        <w:t xml:space="preserve">\foreach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Реализовать рекурсивные построения (ковёр и треугольник Серпинского).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 раздела 8.2.</w:t>
      </w:r>
    </w:p>
    <w:bookmarkEnd w:id="11"/>
    <w:bookmarkStart w:id="57" w:name="ход-работы"/>
    <w:p>
      <w:pPr>
        <w:pStyle w:val="Heading2"/>
      </w:pPr>
      <w:r>
        <w:rPr>
          <w:b/>
          <w:bCs/>
        </w:rPr>
        <w:t xml:space="preserve">Ход работы</w:t>
      </w:r>
    </w:p>
    <w:bookmarkStart w:id="12" w:name="подключение-tikz-и-базовая-структура"/>
    <w:p>
      <w:pPr>
        <w:pStyle w:val="Heading3"/>
      </w:pPr>
      <w:r>
        <w:rPr>
          <w:b/>
          <w:bCs/>
        </w:rPr>
        <w:t xml:space="preserve">1. Подключение TikZ и базовая структура</w:t>
      </w:r>
    </w:p>
    <w:p>
      <w:pPr>
        <w:pStyle w:val="FirstParagraph"/>
      </w:pPr>
      <w:r>
        <w:t xml:space="preserve">Во всех примерах использовался класс</w:t>
      </w:r>
      <w:r>
        <w:t xml:space="preserve"> </w:t>
      </w:r>
      <w:r>
        <w:rPr>
          <w:rStyle w:val="VerbatimChar"/>
        </w:rPr>
        <w:t xml:space="preserve">standalone</w:t>
      </w:r>
      <w:r>
        <w:t xml:space="preserve"> </w:t>
      </w:r>
      <w:r>
        <w:t xml:space="preserve">и пакет</w:t>
      </w:r>
      <w:r>
        <w:t xml:space="preserve"> </w:t>
      </w:r>
      <w:r>
        <w:rPr>
          <w:rStyle w:val="VerbatimChar"/>
        </w:rPr>
        <w:t xml:space="preserve">tikz</w:t>
      </w:r>
      <w:r>
        <w:t xml:space="preserve">. Для реализации рекурсивных алгоритмов подключена библиотека</w:t>
      </w:r>
      <w:r>
        <w:t xml:space="preserve"> </w:t>
      </w:r>
      <w:r>
        <w:rPr>
          <w:rStyle w:val="VerbatimChar"/>
        </w:rPr>
        <w:t xml:space="preserve">math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[border=1cm]{</w:t>
      </w:r>
      <w:r>
        <w:rPr>
          <w:rStyle w:val="ExtensionTok"/>
        </w:rPr>
        <w:t xml:space="preserve">standalone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\usetikzlibrary</w:t>
      </w:r>
      <w:r>
        <w:rPr>
          <w:rStyle w:val="NormalTok"/>
        </w:rPr>
        <w:t xml:space="preserve">{math}</w:t>
      </w:r>
    </w:p>
    <w:bookmarkEnd w:id="12"/>
    <w:bookmarkStart w:id="21" w:name="прямые-линии-и-ломаные-пути"/>
    <w:p>
      <w:pPr>
        <w:pStyle w:val="Heading3"/>
      </w:pPr>
      <w:r>
        <w:rPr>
          <w:b/>
          <w:bCs/>
        </w:rPr>
        <w:t xml:space="preserve">2. Прямые линии и ломаные пути</w:t>
      </w:r>
    </w:p>
    <w:bookmarkStart w:id="16" w:name="ломаная-линия"/>
    <w:p>
      <w:pPr>
        <w:pStyle w:val="Heading4"/>
      </w:pPr>
      <w:r>
        <w:rPr>
          <w:b/>
          <w:bCs/>
        </w:rPr>
        <w:t xml:space="preserve">2.1 Ломаная линия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 (-1,0) -- (3,10pt) -- (35:3);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2796540" cy="143256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pic/1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построение ломаной с использованием декартовых и полярных координат.</w:t>
      </w:r>
    </w:p>
    <w:bookmarkEnd w:id="16"/>
    <w:bookmarkStart w:id="20" w:name="угловое-соединение-и-стрелки"/>
    <w:p>
      <w:pPr>
        <w:pStyle w:val="Heading4"/>
      </w:pPr>
      <w:r>
        <w:rPr>
          <w:b/>
          <w:bCs/>
        </w:rPr>
        <w:t xml:space="preserve">2.2 Угловое соединение и стрелки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[-&gt;] (-1,0) -| (3,10pt);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[red] (3,10pt) -- (35:3);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2644140" cy="150876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pic/2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508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использование углового соединения</w:t>
      </w:r>
      <w:r>
        <w:t xml:space="preserve"> </w:t>
      </w:r>
      <w:r>
        <w:rPr>
          <w:rStyle w:val="VerbatimChar"/>
        </w:rPr>
        <w:t xml:space="preserve">-|</w:t>
      </w:r>
      <w:r>
        <w:t xml:space="preserve"> </w:t>
      </w:r>
      <w:r>
        <w:t xml:space="preserve">и стрелок.</w:t>
      </w:r>
    </w:p>
    <w:bookmarkEnd w:id="20"/>
    <w:bookmarkEnd w:id="21"/>
    <w:bookmarkStart w:id="30" w:name="кривые-и-управление-траекторией"/>
    <w:p>
      <w:pPr>
        <w:pStyle w:val="Heading3"/>
      </w:pPr>
      <w:r>
        <w:rPr>
          <w:b/>
          <w:bCs/>
        </w:rPr>
        <w:t xml:space="preserve">3. Кривые и управление траекторией</w:t>
      </w:r>
    </w:p>
    <w:bookmarkStart w:id="25" w:name="кривые-с-параметрами-out-и-in"/>
    <w:p>
      <w:pPr>
        <w:pStyle w:val="Heading4"/>
      </w:pPr>
      <w:r>
        <w:rPr>
          <w:b/>
          <w:bCs/>
        </w:rPr>
        <w:t xml:space="preserve">3.1 Кривые с параметрами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 (-1,0) to (5,1);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[green] (-1,0) to[out=90,in=135] (5,1);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[cyan] (-1,0) .. controls (0,-2) .. (5,1);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3863340" cy="288036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ic/3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сравнение прямого соединения и кривых Безье.</w:t>
      </w:r>
    </w:p>
    <w:bookmarkEnd w:id="25"/>
    <w:bookmarkStart w:id="29" w:name="кривая-с-двумя-контрольными-точками"/>
    <w:p>
      <w:pPr>
        <w:pStyle w:val="Heading4"/>
      </w:pPr>
      <w:r>
        <w:rPr>
          <w:b/>
          <w:bCs/>
        </w:rPr>
        <w:t xml:space="preserve">3.2 Кривая с двумя контрольными точками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[dotted,gray] (-1,0) -- (5,1);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 (-1,0) .. controls (0,-2) and (4,2) .. (5,1);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4023360" cy="169163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ic/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691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9" w:name="подписи-и-узлы"/>
    <w:p>
      <w:pPr>
        <w:pStyle w:val="Heading3"/>
      </w:pPr>
      <w:r>
        <w:rPr>
          <w:b/>
          <w:bCs/>
        </w:rPr>
        <w:t xml:space="preserve">4. Подписи и узлы</w:t>
      </w:r>
    </w:p>
    <w:bookmarkStart w:id="34" w:name="подписи-в-начале-и-конце-линии"/>
    <w:p>
      <w:pPr>
        <w:pStyle w:val="Heading4"/>
      </w:pPr>
      <w:r>
        <w:rPr>
          <w:b/>
          <w:bCs/>
        </w:rPr>
        <w:t xml:space="preserve">4.1 Подписи в начале и конце линии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}[scale=3]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 (0,0) node {hello} -- (1,1) node {world};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2567940" cy="230124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ic/5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30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позиционирование-подписей"/>
    <w:p>
      <w:pPr>
        <w:pStyle w:val="Heading4"/>
      </w:pPr>
      <w:r>
        <w:rPr>
          <w:b/>
          <w:bCs/>
        </w:rPr>
        <w:t xml:space="preserve">4.2 Позиционирование подписей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}[scale=3]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 (0,0) -- (1,1) node[midway]{A} node[pos=0.75,above]{B} node[right]{C};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2263140" cy="214122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ic/6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2141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43" w:name="узлы-с-оформлением-и-математикой"/>
    <w:p>
      <w:pPr>
        <w:pStyle w:val="Heading3"/>
      </w:pPr>
      <w:r>
        <w:rPr>
          <w:b/>
          <w:bCs/>
        </w:rPr>
        <w:t xml:space="preserve">5. Узлы с оформлением и математикой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}[scale=3]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 (0,0) node[circle, draw]{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_{i=1}^{n}n^2$</w:t>
      </w:r>
      <w:r>
        <w:rPr>
          <w:rStyle w:val="NormalTok"/>
        </w:rPr>
        <w:t xml:space="preserve">} -- (1,1)</w:t>
      </w:r>
      <w:r>
        <w:br/>
      </w:r>
      <w:r>
        <w:rPr>
          <w:rStyle w:val="NormalTok"/>
        </w:rPr>
        <w:t xml:space="preserve">node[rectangle,draw]{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{1}{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{2}}$</w:t>
      </w:r>
      <w:r>
        <w:rPr>
          <w:rStyle w:val="NormalTok"/>
        </w:rPr>
        <w:t xml:space="preserve">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2766060" cy="276606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ic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76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использование математических формул внутри узлов.</w:t>
      </w:r>
    </w:p>
    <w:bookmarkEnd w:id="43"/>
    <w:bookmarkStart w:id="47" w:name="узлы-стрелки-и-стили-линий"/>
    <w:p>
      <w:pPr>
        <w:pStyle w:val="Heading3"/>
      </w:pPr>
      <w:r>
        <w:rPr>
          <w:b/>
          <w:bCs/>
        </w:rPr>
        <w:t xml:space="preserve">6. Узлы, стрелки и стили линий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}[scale=2]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 draw] at (0,0) (a) {A};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[rectangle, fill] at (3,0) (b) {};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[rectangle,rounded corners, draw] at (5,2) (c) {C};</w:t>
      </w:r>
      <w:r>
        <w:br/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[-&gt;, green] (a) -- (b) node[midway, below,black]{2};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[&lt;-&gt;, blue] (a) to[out=45, in=135] (b);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[-&gt;&gt;,red] (b)--(c);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[yellow,dotted,very thick] (b) |- (c);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[thick,black] (a).. controls (1,5) .. (c) node[midway, above]{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{1}{2}$</w:t>
      </w:r>
      <w:r>
        <w:rPr>
          <w:rStyle w:val="NormalTok"/>
        </w:rPr>
        <w:t xml:space="preserve">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4533900" cy="393192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ic/8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93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2" w:name="построение-графиков-функций"/>
    <w:p>
      <w:pPr>
        <w:pStyle w:val="Heading3"/>
      </w:pPr>
      <w:r>
        <w:rPr>
          <w:b/>
          <w:bCs/>
        </w:rPr>
        <w:t xml:space="preserve">7. Построение графиков функций</w:t>
      </w:r>
    </w:p>
    <w:bookmarkStart w:id="51" w:name="график-косинуса"/>
    <w:p>
      <w:pPr>
        <w:pStyle w:val="Heading4"/>
      </w:pPr>
      <w:r>
        <w:rPr>
          <w:b/>
          <w:bCs/>
        </w:rPr>
        <w:t xml:space="preserve">7.1 График косинуса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}[scale=1.5]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[blue, thick] [domain=-2:2, samples=150]</w:t>
      </w:r>
      <w:r>
        <w:br/>
      </w:r>
      <w:r>
        <w:rPr>
          <w:rStyle w:val="NormalTok"/>
        </w:rPr>
        <w:t xml:space="preserve">plot 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 {cos(pi*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 r)}) node[right]{</w:t>
      </w:r>
      <w:r>
        <w:rPr>
          <w:rStyle w:val="SpecialStringTok"/>
        </w:rPr>
        <w:t xml:space="preserve">$y = </w:t>
      </w:r>
      <w:r>
        <w:rPr>
          <w:rStyle w:val="SpecialCharTok"/>
        </w:rPr>
        <w:t xml:space="preserve">\cos</w:t>
      </w:r>
      <w:r>
        <w:rPr>
          <w:rStyle w:val="SpecialStringTok"/>
        </w:rPr>
        <w:t xml:space="preserve">(x)$</w:t>
      </w:r>
      <w:r>
        <w:rPr>
          <w:rStyle w:val="NormalTok"/>
        </w:rPr>
        <w:t xml:space="preserve">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3368040" cy="173736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pic/9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1737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End w:id="52"/>
    <w:bookmarkStart w:id="56" w:name="использование-циклов"/>
    <w:p>
      <w:pPr>
        <w:pStyle w:val="Heading3"/>
      </w:pPr>
      <w:r>
        <w:rPr>
          <w:b/>
          <w:bCs/>
        </w:rPr>
        <w:t xml:space="preserve">8. Использование циклов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}[scale=0.75]</w:t>
      </w:r>
      <w:r>
        <w:br/>
      </w:r>
      <w:r>
        <w:rPr>
          <w:rStyle w:val="FunctionTok"/>
        </w:rPr>
        <w:t xml:space="preserve">\foreach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 in {0,1,2,3}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[red,thick] (0,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) circle [radius=</w:t>
      </w:r>
      <w:r>
        <w:rPr>
          <w:rStyle w:val="FunctionTok"/>
        </w:rPr>
        <w:t xml:space="preserve">\x+</w:t>
      </w:r>
      <w:r>
        <w:rPr>
          <w:rStyle w:val="NormalTok"/>
        </w:rPr>
        <w:t xml:space="preserve">1];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2613660" cy="265176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pic/10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265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генерация серии окружностей с помощью цикла.</w:t>
      </w:r>
    </w:p>
    <w:bookmarkEnd w:id="56"/>
    <w:bookmarkEnd w:id="57"/>
    <w:bookmarkStart w:id="70" w:name="выполнение-упражнений-раздел-8.2"/>
    <w:p>
      <w:pPr>
        <w:pStyle w:val="Heading2"/>
      </w:pPr>
      <w:r>
        <w:rPr>
          <w:b/>
          <w:bCs/>
        </w:rPr>
        <w:t xml:space="preserve">Выполнение упражнений (раздел 8.2)</w:t>
      </w:r>
    </w:p>
    <w:bookmarkStart w:id="61" w:name="граф-вершины-и-рёбра"/>
    <w:p>
      <w:pPr>
        <w:pStyle w:val="Heading3"/>
      </w:pPr>
      <w:r>
        <w:rPr>
          <w:b/>
          <w:bCs/>
        </w:rPr>
        <w:t xml:space="preserve">8.2.1 Граф (вершины и рёбра)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}[scale=3]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[circle,draw, double] (b) at (0,0) {B};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[circle,draw, double] (f) at (2,0) {F};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[circle,draw, double] (d) at (1,-1.5) {D};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[blue,dotted,very thick] (b) to node[midway, above]{6} (f);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[blue,dotted,very thick] (b) to node[midway, below]{2}(d);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[blue,dotted,very thick] (d) to node[midway, below]{4}(f);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[circle,draw,fill=green] (c) at (0,-1) {C};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[circle,draw,fill=green] (a) at (1,0.5) {A};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[circle,draw,fill=green] (e) at (2,-1) {E};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[blue] (b) to[out=250, in=100] (c);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[red] (b) to[out=50, in=150] (a);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[red] (a) to[out=200, in=30] node[midway, above]{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{2}$</w:t>
      </w:r>
      <w:r>
        <w:rPr>
          <w:rStyle w:val="NormalTok"/>
        </w:rPr>
        <w:t xml:space="preserve">} (d);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[red] (a) to[out=350, in=90] (e);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2994660" cy="3124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pic/11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5" w:name="графики-yex-и-ylnx"/>
    <w:p>
      <w:pPr>
        <w:pStyle w:val="Heading3"/>
      </w:pPr>
      <w:r>
        <w:rPr>
          <w:b/>
          <w:bCs/>
        </w:rPr>
        <w:t xml:space="preserve">8.2.2 Графики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}[scale=2]</w:t>
      </w:r>
      <w:r>
        <w:br/>
      </w:r>
      <w:r>
        <w:rPr>
          <w:rStyle w:val="CommentTok"/>
        </w:rPr>
        <w:t xml:space="preserve">% Draw the x and y axis, label the axes and the origin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[gray, -&gt;] (-1.2,0) -- (1.6,0) node[right]{</w:t>
      </w:r>
      <w:r>
        <w:rPr>
          <w:rStyle w:val="SpecialStringTok"/>
        </w:rPr>
        <w:t xml:space="preserve">$x$</w:t>
      </w:r>
      <w:r>
        <w:rPr>
          <w:rStyle w:val="NormalTok"/>
        </w:rPr>
        <w:t xml:space="preserve">} node[pos=0.53, below]{</w:t>
      </w:r>
      <w:r>
        <w:rPr>
          <w:rStyle w:val="SpecialStringTok"/>
        </w:rPr>
        <w:t xml:space="preserve">$O$</w:t>
      </w:r>
      <w:r>
        <w:rPr>
          <w:rStyle w:val="NormalTok"/>
        </w:rPr>
        <w:t xml:space="preserve">};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[gray, -&gt;] (0,-1.2) -- (0,3.9) node[above]{</w:t>
      </w:r>
      <w:r>
        <w:rPr>
          <w:rStyle w:val="SpecialStringTok"/>
        </w:rPr>
        <w:t xml:space="preserve">$y$</w:t>
      </w:r>
      <w:r>
        <w:rPr>
          <w:rStyle w:val="NormalTok"/>
        </w:rPr>
        <w:t xml:space="preserve">};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[fill,gray] (0,0) circle [radius=1pt];</w:t>
      </w:r>
      <w:r>
        <w:br/>
      </w:r>
      <w:r>
        <w:rPr>
          <w:rStyle w:val="CommentTok"/>
        </w:rPr>
        <w:t xml:space="preserve">% Plot the curve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[blue, thick] [domain=-1:1.5, samples=150] plot 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 {exp(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node[right]{</w:t>
      </w:r>
      <w:r>
        <w:rPr>
          <w:rStyle w:val="SpecialStringTok"/>
        </w:rPr>
        <w:t xml:space="preserve">$y=e^x$</w:t>
      </w:r>
      <w:r>
        <w:rPr>
          <w:rStyle w:val="NormalTok"/>
        </w:rPr>
        <w:t xml:space="preserve">};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[black, thick, domain=0.3:1.6, samples=200] plot 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 {ln(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node[right]{</w:t>
      </w:r>
      <w:r>
        <w:rPr>
          <w:rStyle w:val="SpecialStringTok"/>
        </w:rPr>
        <w:t xml:space="preserve">$y=</w:t>
      </w:r>
      <w:r>
        <w:rPr>
          <w:rStyle w:val="SpecialCharTok"/>
        </w:rPr>
        <w:t xml:space="preserve">\ln</w:t>
      </w:r>
      <w:r>
        <w:rPr>
          <w:rStyle w:val="SpecialStringTok"/>
        </w:rPr>
        <w:t xml:space="preserve">(x)$</w:t>
      </w:r>
      <w:r>
        <w:rPr>
          <w:rStyle w:val="NormalTok"/>
        </w:rPr>
        <w:t xml:space="preserve">};</w:t>
      </w:r>
      <w:r>
        <w:br/>
      </w:r>
      <w:r>
        <w:rPr>
          <w:rStyle w:val="CommentTok"/>
        </w:rPr>
        <w:t xml:space="preserve">% Note: the r in the argument of the cosine signifies that we enter \x in radians</w:t>
      </w:r>
      <w:r>
        <w:br/>
      </w:r>
      <w:r>
        <w:rPr>
          <w:rStyle w:val="CommentTok"/>
        </w:rPr>
        <w:t xml:space="preserve">% Mark x=1 on x-axis</w:t>
      </w:r>
      <w:r>
        <w:br/>
      </w:r>
      <w:r>
        <w:rPr>
          <w:rStyle w:val="FunctionTok"/>
        </w:rPr>
        <w:t xml:space="preserve">\fill</w:t>
      </w:r>
      <w:r>
        <w:rPr>
          <w:rStyle w:val="NormalTok"/>
        </w:rPr>
        <w:t xml:space="preserve">[gray] (1,0) circle (0.03);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[gray, below] at (1,0) {</w:t>
      </w:r>
      <w:r>
        <w:rPr>
          <w:rStyle w:val="SpecialStringTok"/>
        </w:rPr>
        <w:t xml:space="preserve">$x=1$</w:t>
      </w:r>
      <w:r>
        <w:rPr>
          <w:rStyle w:val="NormalTok"/>
        </w:rPr>
        <w:t xml:space="preserve">};</w:t>
      </w:r>
      <w:r>
        <w:br/>
      </w:r>
      <w:r>
        <w:rPr>
          <w:rStyle w:val="CommentTok"/>
        </w:rPr>
        <w:t xml:space="preserve">% Mark y=1 on y-axis</w:t>
      </w:r>
      <w:r>
        <w:br/>
      </w:r>
      <w:r>
        <w:rPr>
          <w:rStyle w:val="FunctionTok"/>
        </w:rPr>
        <w:t xml:space="preserve">\fill</w:t>
      </w:r>
      <w:r>
        <w:rPr>
          <w:rStyle w:val="NormalTok"/>
        </w:rPr>
        <w:t xml:space="preserve">[gray] (0,1) circle (0.03);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[gray, left] at (0,1) {</w:t>
      </w:r>
      <w:r>
        <w:rPr>
          <w:rStyle w:val="SpecialStringTok"/>
        </w:rPr>
        <w:t xml:space="preserve">$y=1$</w:t>
      </w:r>
      <w:r>
        <w:rPr>
          <w:rStyle w:val="NormalTok"/>
        </w:rPr>
        <w:t xml:space="preserve">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3124200" cy="493014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pic/12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93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9" w:name="ковёр-серпинского"/>
    <w:p>
      <w:pPr>
        <w:pStyle w:val="Heading3"/>
      </w:pPr>
      <w:r>
        <w:rPr>
          <w:b/>
          <w:bCs/>
        </w:rPr>
        <w:t xml:space="preserve">8.2.3 Ковёр Серпинского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\def\S</w:t>
      </w:r>
      <w:r>
        <w:rPr>
          <w:rStyle w:val="NormalTok"/>
        </w:rPr>
        <w:t xml:space="preserve">{6}</w:t>
      </w:r>
      <w:r>
        <w:br/>
      </w:r>
      <w:r>
        <w:rPr>
          <w:rStyle w:val="FunctionTok"/>
        </w:rPr>
        <w:t xml:space="preserve">\def\D</w:t>
      </w:r>
      <w:r>
        <w:rPr>
          <w:rStyle w:val="NormalTok"/>
        </w:rPr>
        <w:t xml:space="preserve">{4}</w:t>
      </w:r>
      <w:r>
        <w:br/>
      </w:r>
      <w:r>
        <w:rPr>
          <w:rStyle w:val="FunctionTok"/>
        </w:rPr>
        <w:t xml:space="preserve">\tikzmath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function carpet(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if (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==0) then {</w:t>
      </w:r>
      <w:r>
        <w:br/>
      </w:r>
      <w:r>
        <w:rPr>
          <w:rStyle w:val="NormalTok"/>
        </w:rPr>
        <w:t xml:space="preserve">{ </w:t>
      </w:r>
      <w:r>
        <w:rPr>
          <w:rStyle w:val="FunctionTok"/>
        </w:rPr>
        <w:t xml:space="preserve">\fill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</w:t>
      </w:r>
      <w:r>
        <w:rPr>
          <w:rStyle w:val="NormalTok"/>
        </w:rPr>
        <w:t xml:space="preserve">) rectangle ++(</w:t>
      </w:r>
      <w:r>
        <w:rPr>
          <w:rStyle w:val="FunctionTok"/>
        </w:rPr>
        <w:t xml:space="preserve">\s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\s</w:t>
      </w:r>
      <w:r>
        <w:rPr>
          <w:rStyle w:val="NormalTok"/>
        </w:rPr>
        <w:t xml:space="preserve">); };</w:t>
      </w:r>
      <w:r>
        <w:br/>
      </w:r>
      <w:r>
        <w:rPr>
          <w:rStyle w:val="NormalTok"/>
        </w:rPr>
        <w:t xml:space="preserve">} else {</w:t>
      </w:r>
      <w:r>
        <w:br/>
      </w:r>
      <w:r>
        <w:rPr>
          <w:rStyle w:val="FunctionTok"/>
        </w:rPr>
        <w:t xml:space="preserve">\ns</w:t>
      </w:r>
      <w:r>
        <w:rPr>
          <w:rStyle w:val="NormalTok"/>
        </w:rPr>
        <w:t xml:space="preserve">=</w:t>
      </w:r>
      <w:r>
        <w:rPr>
          <w:rStyle w:val="FunctionTok"/>
        </w:rPr>
        <w:t xml:space="preserve">\s</w:t>
      </w:r>
      <w:r>
        <w:rPr>
          <w:rStyle w:val="NormalTok"/>
        </w:rPr>
        <w:t xml:space="preserve">/3;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\x+\ns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\x+</w:t>
      </w:r>
      <w:r>
        <w:rPr>
          <w:rStyle w:val="NormalTok"/>
        </w:rPr>
        <w:t xml:space="preserve">2*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\y+\ns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\x+</w:t>
      </w:r>
      <w:r>
        <w:rPr>
          <w:rStyle w:val="NormalTok"/>
        </w:rPr>
        <w:t xml:space="preserve">2*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\y+\ns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\y+</w:t>
      </w:r>
      <w:r>
        <w:rPr>
          <w:rStyle w:val="NormalTok"/>
        </w:rPr>
        <w:t xml:space="preserve">2*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\x+\ns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\y+</w:t>
      </w:r>
      <w:r>
        <w:rPr>
          <w:rStyle w:val="NormalTok"/>
        </w:rPr>
        <w:t xml:space="preserve">2*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carpet(</w:t>
      </w:r>
      <w:r>
        <w:rPr>
          <w:rStyle w:val="FunctionTok"/>
        </w:rPr>
        <w:t xml:space="preserve">\x+</w:t>
      </w:r>
      <w:r>
        <w:rPr>
          <w:rStyle w:val="NormalTok"/>
        </w:rPr>
        <w:t xml:space="preserve">2*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\y+</w:t>
      </w:r>
      <w:r>
        <w:rPr>
          <w:rStyle w:val="NormalTok"/>
        </w:rPr>
        <w:t xml:space="preserve">2*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\ns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-1);</w:t>
      </w:r>
      <w:r>
        <w:br/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carpet(0,0,</w:t>
      </w:r>
      <w:r>
        <w:rPr>
          <w:rStyle w:val="FunctionTok"/>
        </w:rPr>
        <w:t xml:space="preserve">\S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\D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2636520" cy="264414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pic/13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644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End w:id="70"/>
    <w:bookmarkStart w:id="71" w:name="результаты"/>
    <w:p>
      <w:pPr>
        <w:pStyle w:val="Heading2"/>
      </w:pPr>
      <w:r>
        <w:rPr>
          <w:b/>
          <w:bCs/>
        </w:rPr>
        <w:t xml:space="preserve">Результаты</w:t>
      </w:r>
    </w:p>
    <w:p>
      <w:pPr>
        <w:pStyle w:val="Compact"/>
        <w:numPr>
          <w:ilvl w:val="0"/>
          <w:numId w:val="1002"/>
        </w:numPr>
      </w:pPr>
      <w:r>
        <w:t xml:space="preserve">Освоены основные элементы TikZ: пути, кривые, узлы и подписи.</w:t>
      </w:r>
    </w:p>
    <w:p>
      <w:pPr>
        <w:pStyle w:val="Compact"/>
        <w:numPr>
          <w:ilvl w:val="0"/>
          <w:numId w:val="1002"/>
        </w:numPr>
      </w:pPr>
      <w:r>
        <w:t xml:space="preserve">Реализованы графики функций и геометрические объекты.</w:t>
      </w:r>
    </w:p>
    <w:p>
      <w:pPr>
        <w:pStyle w:val="Compact"/>
        <w:numPr>
          <w:ilvl w:val="0"/>
          <w:numId w:val="1002"/>
        </w:numPr>
      </w:pPr>
      <w:r>
        <w:t xml:space="preserve">Использованы циклы и рекурсивные функции.</w:t>
      </w:r>
    </w:p>
    <w:p>
      <w:pPr>
        <w:pStyle w:val="Compact"/>
        <w:numPr>
          <w:ilvl w:val="0"/>
          <w:numId w:val="1002"/>
        </w:numPr>
      </w:pPr>
      <w:r>
        <w:t xml:space="preserve">Выполнены все упражнения раздела 8.2.</w:t>
      </w:r>
    </w:p>
    <w:bookmarkEnd w:id="71"/>
    <w:bookmarkStart w:id="75" w:name="вывод"/>
    <w:p>
      <w:pPr>
        <w:pStyle w:val="Heading2"/>
      </w:pPr>
      <w:r>
        <w:rPr>
          <w:b/>
          <w:bCs/>
        </w:rPr>
        <w:t xml:space="preserve">Вывод</w:t>
      </w:r>
    </w:p>
    <w:p>
      <w:pPr>
        <w:pStyle w:val="FirstParagraph"/>
      </w:pPr>
      <w:r>
        <w:t xml:space="preserve">В ходе лабораторной работы №8 получены практические навыки построения графики в LaTeX с использованием TikZ. Реализованы как простые геометрические примитивы, так и сложные рекурсивные структуры, что подтверждает универсальность подхода «графика как код».</w:t>
      </w:r>
    </w:p>
    <w:bookmarkStart w:id="74" w:name="список-литературы"/>
    <w:p>
      <w:pPr>
        <w:pStyle w:val="Heading3"/>
      </w:pPr>
      <w:r>
        <w:t xml:space="preserve">Список литературы</w:t>
      </w:r>
    </w:p>
    <w:p>
      <w:pPr>
        <w:pStyle w:val="FirstParagraph"/>
      </w:pPr>
      <w:r>
        <w:t xml:space="preserve">[</w:t>
      </w:r>
      <w:hyperlink w:anchor="ref-book">
        <w:r>
          <w:rPr>
            <w:rStyle w:val="Hyperlink"/>
          </w:rPr>
          <w:t xml:space="preserve">1</w:t>
        </w:r>
      </w:hyperlink>
      <w:r>
        <w:t xml:space="preserve">]</w:t>
      </w:r>
    </w:p>
    <w:bookmarkStart w:id="73" w:name="refs"/>
    <w:bookmarkStart w:id="72" w:name="ref-boo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Львовский С.М. Набор и вёрстка в системе LaTeX. Москва: МЦНМО, 2014. С. 400.</w:t>
      </w:r>
    </w:p>
    <w:bookmarkEnd w:id="72"/>
    <w:bookmarkEnd w:id="73"/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53" Target="media/rId53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17" Target="media/rId17.jpg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40" Target="media/rId40.jpg" /><Relationship Type="http://schemas.openxmlformats.org/officeDocument/2006/relationships/image" Id="rId44" Target="media/rId44.jpg" /><Relationship Type="http://schemas.openxmlformats.org/officeDocument/2006/relationships/image" Id="rId48" Target="media/rId4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Нирдоши Всеволод Раджендер</dc:creator>
  <dc:language>ru-RU</dc:language>
  <cp:keywords/>
  <dcterms:created xsi:type="dcterms:W3CDTF">2025-12-19T23:01:18Z</dcterms:created>
  <dcterms:modified xsi:type="dcterms:W3CDTF">2025-12-19T23:01:18Z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iography">
    <vt:lpwstr>cite.bib</vt:lpwstr>
  </property>
  <property fmtid="{D5CDD505-2E9C-101B-9397-08002B2CF9AE}" pid="5" name="csl">
    <vt:lpwstr>pandoc/csl/gost-r-7-0-5-2008-numeric.csl</vt:lpwstr>
  </property>
  <property fmtid="{D5CDD505-2E9C-101B-9397-08002B2CF9AE}" pid="6" name="documentclass">
    <vt:lpwstr>scrreprt</vt:lpwstr>
  </property>
  <property fmtid="{D5CDD505-2E9C-101B-9397-08002B2CF9AE}" pid="7" name="figureTitle">
    <vt:lpwstr>Рис.</vt:lpwstr>
  </property>
  <property fmtid="{D5CDD505-2E9C-101B-9397-08002B2CF9AE}" pid="8" name="fontsize">
    <vt:lpwstr>12pt</vt:lpwstr>
  </property>
  <property fmtid="{D5CDD505-2E9C-101B-9397-08002B2CF9AE}" pid="9" name="header-includes">
    <vt:lpwstr/>
  </property>
  <property fmtid="{D5CDD505-2E9C-101B-9397-08002B2CF9AE}" pid="10" name="indent">
    <vt:lpwstr>True</vt:lpwstr>
  </property>
  <property fmtid="{D5CDD505-2E9C-101B-9397-08002B2CF9AE}" pid="11" name="linestretch">
    <vt:lpwstr>1.5</vt:lpwstr>
  </property>
  <property fmtid="{D5CDD505-2E9C-101B-9397-08002B2CF9AE}" pid="12" name="link-citations">
    <vt:lpwstr>True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t">
    <vt:lpwstr>True</vt:lpwstr>
  </property>
  <property fmtid="{D5CDD505-2E9C-101B-9397-08002B2CF9AE}" pid="16" name="mainfont">
    <vt:lpwstr>IBM Plex Serif</vt:lpwstr>
  </property>
  <property fmtid="{D5CDD505-2E9C-101B-9397-08002B2CF9AE}" pid="17" name="mathfont">
    <vt:lpwstr>STIX Two Math</vt:lpwstr>
  </property>
  <property fmtid="{D5CDD505-2E9C-101B-9397-08002B2CF9AE}" pid="18" name="mathfontoptions">
    <vt:lpwstr/>
  </property>
  <property fmtid="{D5CDD505-2E9C-101B-9397-08002B2CF9AE}" pid="19" name="monofont">
    <vt:lpwstr>IBM Plex Mono</vt:lpwstr>
  </property>
  <property fmtid="{D5CDD505-2E9C-101B-9397-08002B2CF9AE}" pid="20" name="monofontoptions">
    <vt:lpwstr>Scale=MatchLowercase,Scale=0.94,FakeStretch=0.9</vt:lpwstr>
  </property>
  <property fmtid="{D5CDD505-2E9C-101B-9397-08002B2CF9AE}" pid="21" name="papersize">
    <vt:lpwstr>a4</vt:lpwstr>
  </property>
  <property fmtid="{D5CDD505-2E9C-101B-9397-08002B2CF9AE}" pid="22" name="polyglossia-lang">
    <vt:lpwstr/>
  </property>
  <property fmtid="{D5CDD505-2E9C-101B-9397-08002B2CF9AE}" pid="23" name="polyglossia-otherlangs">
    <vt:lpwstr/>
  </property>
  <property fmtid="{D5CDD505-2E9C-101B-9397-08002B2CF9AE}" pid="24" name="romanfont">
    <vt:lpwstr>IBM Plex Serif</vt:lpwstr>
  </property>
  <property fmtid="{D5CDD505-2E9C-101B-9397-08002B2CF9AE}" pid="25" name="romanfontoptions">
    <vt:lpwstr>Ligatures=Common,Ligatures=TeX,Scale=0.94</vt:lpwstr>
  </property>
  <property fmtid="{D5CDD505-2E9C-101B-9397-08002B2CF9AE}" pid="26" name="sansfont">
    <vt:lpwstr>IBM Plex Sans</vt:lpwstr>
  </property>
  <property fmtid="{D5CDD505-2E9C-101B-9397-08002B2CF9AE}" pid="27" name="sansfontoptions">
    <vt:lpwstr>Ligatures=Common,Ligatures=TeX,Scale=MatchLowercase,Scale=0.94</vt:lpwstr>
  </property>
  <property fmtid="{D5CDD505-2E9C-101B-9397-08002B2CF9AE}" pid="28" name="subtitle">
    <vt:lpwstr>Дисциплина: Computer Skills for Scientific Writing</vt:lpwstr>
  </property>
  <property fmtid="{D5CDD505-2E9C-101B-9397-08002B2CF9AE}" pid="29" name="tableTitle">
    <vt:lpwstr>Таблица</vt:lpwstr>
  </property>
  <property fmtid="{D5CDD505-2E9C-101B-9397-08002B2CF9AE}" pid="30" name="toc">
    <vt:lpwstr>True</vt:lpwstr>
  </property>
  <property fmtid="{D5CDD505-2E9C-101B-9397-08002B2CF9AE}" pid="31" name="toc-depth">
    <vt:lpwstr>2</vt:lpwstr>
  </property>
  <property fmtid="{D5CDD505-2E9C-101B-9397-08002B2CF9AE}" pid="32" name="toc-title">
    <vt:lpwstr>Содержание</vt:lpwstr>
  </property>
</Properties>
</file>