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jpg" ContentType="image/jpeg"/>
  <Override PartName="/word/media/rId51.jpg" ContentType="image/jpeg"/>
  <Override PartName="/word/media/rId47.jpg" ContentType="image/jpeg"/>
  <Override PartName="/word/media/rId15.jpg" ContentType="image/jpeg"/>
  <Override PartName="/word/media/rId19.jpg" ContentType="image/jpeg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Computer Skills for Scientific Writing</w:t>
      </w:r>
    </w:p>
    <w:p>
      <w:pPr>
        <w:pStyle w:val="Author"/>
      </w:pPr>
      <w:r>
        <w:t xml:space="preserve">Нирдоши Всеволод Раджендер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задач"/>
    <w:p>
      <w:pPr>
        <w:pStyle w:val="Heading3"/>
      </w:pPr>
      <w:r>
        <w:rPr>
          <w:b/>
          <w:bCs/>
        </w:rPr>
        <w:t xml:space="preserve">Задач</w:t>
      </w:r>
    </w:p>
    <w:p>
      <w:pPr>
        <w:pStyle w:val="FirstParagraph"/>
      </w:pPr>
      <w:r>
        <w:t xml:space="preserve">Изучить особенности математического набора в системе</w:t>
      </w:r>
      <w:r>
        <w:t xml:space="preserve"> </w:t>
      </w:r>
      <w:r>
        <w:rPr>
          <w:b/>
          <w:bCs/>
        </w:rPr>
        <w:t xml:space="preserve">LaTeX</w:t>
      </w:r>
      <w:r>
        <w:t xml:space="preserve"> </w:t>
      </w:r>
      <w:r>
        <w:t xml:space="preserve">, научиться использовать</w:t>
      </w:r>
      <w:r>
        <w:t xml:space="preserve"> </w:t>
      </w:r>
      <w:r>
        <w:rPr>
          <w:b/>
          <w:bCs/>
        </w:rPr>
        <w:t xml:space="preserve">математический режим (math mode)</w:t>
      </w:r>
      <w:r>
        <w:t xml:space="preserve">, работать с пакетами</w:t>
      </w:r>
      <w:r>
        <w:t xml:space="preserve"> </w:t>
      </w:r>
      <w:r>
        <w:rPr>
          <w:b/>
          <w:bCs/>
        </w:rPr>
        <w:t xml:space="preserve">amsmath</w:t>
      </w:r>
      <w:r>
        <w:t xml:space="preserve">,</w:t>
      </w:r>
      <w:r>
        <w:t xml:space="preserve"> </w:t>
      </w:r>
      <w:r>
        <w:rPr>
          <w:b/>
          <w:bCs/>
        </w:rPr>
        <w:t xml:space="preserve">amssymb</w:t>
      </w:r>
      <w:r>
        <w:t xml:space="preserve">,</w:t>
      </w:r>
      <w:r>
        <w:t xml:space="preserve"> </w:t>
      </w:r>
      <w:r>
        <w:rPr>
          <w:b/>
          <w:bCs/>
        </w:rPr>
        <w:t xml:space="preserve">bm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mathtools</w:t>
      </w:r>
      <w:r>
        <w:t xml:space="preserve">, а также освоить применение различных шрифтов и греческих символов при оформлении научных и технических текстов.</w:t>
      </w:r>
    </w:p>
    <w:p>
      <w:r>
        <w:pict>
          <v:rect style="width:0;height:1.5pt" o:hralign="center" o:hrstd="t" o:hr="t"/>
        </w:pict>
      </w:r>
    </w:p>
    <w:bookmarkEnd w:id="9"/>
    <w:bookmarkStart w:id="10" w:name="цель"/>
    <w:p>
      <w:pPr>
        <w:pStyle w:val="Heading3"/>
      </w:pPr>
      <w:r>
        <w:rPr>
          <w:b/>
          <w:bCs/>
        </w:rPr>
        <w:t xml:space="preserve">Цель</w:t>
      </w:r>
    </w:p>
    <w:p>
      <w:pPr>
        <w:pStyle w:val="FirstParagraph"/>
      </w:pPr>
      <w:r>
        <w:t xml:space="preserve">Освоить основные возможности LaTeX для создания и форматирования математических формул, уравнений, символов, матриц и других элементов.</w:t>
      </w:r>
      <w:r>
        <w:t xml:space="preserve"> </w:t>
      </w:r>
      <w:r>
        <w:t xml:space="preserve">Научиться различать встроенный (inline) и выведенный (display) математические режимы, применять команды изменения шрифтов, использовать греческие буквы и выравнивание формул.</w:t>
      </w:r>
    </w:p>
    <w:p>
      <w:r>
        <w:pict>
          <v:rect style="width:0;height:1.5pt" o:hralign="center" o:hrstd="t" o:hr="t"/>
        </w:pict>
      </w:r>
    </w:p>
    <w:bookmarkEnd w:id="10"/>
    <w:bookmarkStart w:id="55" w:name="ход-работы"/>
    <w:p>
      <w:pPr>
        <w:pStyle w:val="Heading3"/>
      </w:pPr>
      <w:r>
        <w:rPr>
          <w:b/>
          <w:bCs/>
        </w:rPr>
        <w:t xml:space="preserve">Ход работы</w:t>
      </w:r>
    </w:p>
    <w:p>
      <w:pPr>
        <w:pStyle w:val="FirstParagraph"/>
      </w:pPr>
      <w:r>
        <w:t xml:space="preserve">Исходный код лабораторной работы включает несколько подразделов (3.1–3.7), демонстрирующих различные функции математического набора в LaTeX. Ниже приводится описание каждого из них.</w:t>
      </w:r>
    </w:p>
    <w:p>
      <w:r>
        <w:pict>
          <v:rect style="width:0;height:1.5pt" o:hralign="center" o:hrstd="t" o:hr="t"/>
        </w:pict>
      </w:r>
    </w:p>
    <w:bookmarkStart w:id="14" w:name="математический-режим-math-mode"/>
    <w:p>
      <w:pPr>
        <w:pStyle w:val="Heading4"/>
      </w:pPr>
      <w:r>
        <w:rPr>
          <w:b/>
          <w:bCs/>
        </w:rPr>
        <w:t xml:space="preserve">3.1 Математический режим (Math Mode)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NormalTok"/>
        </w:rPr>
        <w:t xml:space="preserve">A sentence with inline mathematics: </w:t>
      </w:r>
      <w:r>
        <w:rPr>
          <w:rStyle w:val="SpecialStringTok"/>
        </w:rPr>
        <w:t xml:space="preserve">\( y = mx + c \)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A second sentence with inline mathematics:</w:t>
      </w:r>
      <w:r>
        <w:br/>
      </w:r>
      <w:r>
        <w:rPr>
          <w:rStyle w:val="SpecialStringTok"/>
        </w:rPr>
        <w:t xml:space="preserve">$5^{2}=3^{2}+4^{2}$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A second paragraph containing display math.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StringTok"/>
        </w:rPr>
        <w:t xml:space="preserve">y = mx + c</w:t>
      </w:r>
      <w:r>
        <w:br/>
      </w:r>
      <w:r>
        <w:rPr>
          <w:rStyle w:val="SpecialStringTok"/>
        </w:rPr>
        <w:t xml:space="preserve">\]</w:t>
      </w:r>
      <w:r>
        <w:br/>
      </w:r>
      <w:r>
        <w:rPr>
          <w:rStyle w:val="NormalTok"/>
        </w:rPr>
        <w:t xml:space="preserve">See how the paragraph continues after the display.</w:t>
      </w:r>
      <w:r>
        <w:br/>
      </w:r>
      <w:r>
        <w:br/>
      </w:r>
      <w:r>
        <w:rPr>
          <w:rStyle w:val="NormalTok"/>
        </w:rPr>
        <w:t xml:space="preserve">Superscripts </w:t>
      </w:r>
      <w:r>
        <w:rPr>
          <w:rStyle w:val="SpecialStringTok"/>
        </w:rPr>
        <w:t xml:space="preserve">$a^{2}$</w:t>
      </w:r>
      <w:r>
        <w:rPr>
          <w:rStyle w:val="NormalTok"/>
        </w:rPr>
        <w:t xml:space="preserve"> and subscripts </w:t>
      </w:r>
      <w:r>
        <w:rPr>
          <w:rStyle w:val="SpecialStringTok"/>
        </w:rPr>
        <w:t xml:space="preserve">$a_{2}$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Some mathematics: </w:t>
      </w:r>
      <w:r>
        <w:rPr>
          <w:rStyle w:val="SpecialStringTok"/>
        </w:rPr>
        <w:t xml:space="preserve">$y = 2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^{2}$</w:t>
      </w:r>
      <w:r>
        <w:rPr>
          <w:rStyle w:val="NormalTok"/>
        </w:rPr>
        <w:t xml:space="preserve">.</w:t>
      </w:r>
    </w:p>
    <w:p>
      <w:pPr>
        <w:pStyle w:val="FirstParagraph"/>
      </w:pPr>
      <w:r>
        <w:drawing>
          <wp:inline>
            <wp:extent cx="5265420" cy="1805939"/>
            <wp:effectExtent b="0" l="0" r="0" t="0"/>
            <wp:docPr descr="" title="" id="12" name="Picture"/>
            <a:graphic>
              <a:graphicData uri="http://schemas.openxmlformats.org/drawingml/2006/picture">
                <pic:pic>
                  <pic:nvPicPr>
                    <pic:cNvPr descr="pic/1.jp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В данном разделе показано использование</w:t>
      </w:r>
      <w:r>
        <w:t xml:space="preserve"> </w:t>
      </w:r>
      <w:r>
        <w:rPr>
          <w:b/>
          <w:bCs/>
        </w:rPr>
        <w:t xml:space="preserve">математического режима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Встроенный (inline)</w:t>
      </w:r>
      <w:r>
        <w:t xml:space="preserve"> </w:t>
      </w:r>
      <w:r>
        <w:t xml:space="preserve">режим — используется для коротких формул в тексте и обозначается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.</w:t>
      </w:r>
      <w:r>
        <w:t xml:space="preserve"> </w:t>
      </w:r>
      <w:r>
        <w:t xml:space="preserve">Пример: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,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Выведенный (display)</w:t>
      </w:r>
      <w:r>
        <w:t xml:space="preserve"> </w:t>
      </w:r>
      <w:r>
        <w:t xml:space="preserve">режим — обозначается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и размещает формулу по центру на отдельной строке: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m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Используются</w:t>
      </w:r>
      <w:r>
        <w:t xml:space="preserve"> </w:t>
      </w:r>
      <w:r>
        <w:rPr>
          <w:b/>
          <w:bCs/>
        </w:rPr>
        <w:t xml:space="preserve">верхние индексы</w:t>
      </w:r>
      <w:r>
        <w:t xml:space="preserve"> </w:t>
      </w:r>
      <w:r>
        <w:t xml:space="preserve">(</w:t>
      </w:r>
      <w:r>
        <w:rPr>
          <w:rStyle w:val="VerbatimChar"/>
        </w:rPr>
        <w:t xml:space="preserve">^</w:t>
      </w:r>
      <w:r>
        <w:t xml:space="preserve">) и</w:t>
      </w:r>
      <w:r>
        <w:t xml:space="preserve"> </w:t>
      </w:r>
      <w:r>
        <w:rPr>
          <w:b/>
          <w:bCs/>
        </w:rPr>
        <w:t xml:space="preserve">нижние индексы</w:t>
      </w:r>
      <w:r>
        <w:t xml:space="preserve"> </w:t>
      </w:r>
      <w:r>
        <w:t xml:space="preserve">(</w:t>
      </w:r>
      <w:r>
        <w:rPr>
          <w:rStyle w:val="VerbatimChar"/>
        </w:rPr>
        <w:t xml:space="preserve">_</w:t>
      </w:r>
      <w:r>
        <w:t xml:space="preserve">), а также стандартные функции, например</w:t>
      </w:r>
      <w:r>
        <w:t xml:space="preserve"> </w:t>
      </w:r>
      <w:r>
        <w:rPr>
          <w:rStyle w:val="VerbatimChar"/>
        </w:rPr>
        <w:t xml:space="preserve">\sin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Добавлен пример с греческой буквой</w:t>
      </w:r>
      <w:r>
        <w:t xml:space="preserve"> </w:t>
      </w:r>
      <w:r>
        <w:rPr>
          <w:rStyle w:val="VerbatimChar"/>
        </w:rPr>
        <w:t xml:space="preserve">\theta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Показать различие между встроенным и отдельным математическим режимом и их влияние на форматирование текста.</w:t>
      </w:r>
    </w:p>
    <w:p>
      <w:r>
        <w:pict>
          <v:rect style="width:0;height:1.5pt" o:hralign="center" o:hrstd="t" o:hr="t"/>
        </w:pict>
      </w:r>
    </w:p>
    <w:bookmarkEnd w:id="14"/>
    <w:bookmarkStart w:id="18" w:name="X7d7073ad02f879896a5029cbbda6ef847657f70"/>
    <w:p>
      <w:pPr>
        <w:pStyle w:val="Heading4"/>
      </w:pPr>
      <w:r>
        <w:rPr>
          <w:b/>
          <w:bCs/>
        </w:rPr>
        <w:t xml:space="preserve">3.1.2 Отображаемая математика (Display Mathematics)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\int</w:t>
      </w:r>
      <w:r>
        <w:rPr>
          <w:rStyle w:val="SpecialStringTok"/>
        </w:rPr>
        <w:t xml:space="preserve">_{-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}^{+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 xml:space="preserve">\,</w:t>
      </w:r>
      <w:r>
        <w:rPr>
          <w:rStyle w:val="SpecialStringTok"/>
        </w:rPr>
        <w:t xml:space="preserve"> dx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\int</w:t>
      </w:r>
      <w:r>
        <w:rPr>
          <w:rStyle w:val="SpecialStringTok"/>
        </w:rPr>
        <w:t xml:space="preserve">_{-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}^{+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 xml:space="preserve">\diff</w:t>
      </w:r>
      <w:r>
        <w:rPr>
          <w:rStyle w:val="SpecialStringTok"/>
        </w:rPr>
        <w:t xml:space="preserve"> x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\int</w:t>
      </w:r>
      <w:r>
        <w:rPr>
          <w:rStyle w:val="SpecialStringTok"/>
        </w:rPr>
        <w:t xml:space="preserve">_{-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}^{+</w:t>
      </w:r>
      <w:r>
        <w:rPr>
          <w:rStyle w:val="SpecialCharTok"/>
        </w:rPr>
        <w:t xml:space="preserve"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 xml:space="preserve">\,</w:t>
      </w:r>
      <w:r>
        <w:rPr>
          <w:rStyle w:val="SpecialStringTok"/>
        </w:rPr>
        <w:t xml:space="preserve"> dx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383276"/>
            <wp:effectExtent b="0" l="0" r="0" t="0"/>
            <wp:docPr descr="" title="" id="16" name="Picture"/>
            <a:graphic>
              <a:graphicData uri="http://schemas.openxmlformats.org/drawingml/2006/picture">
                <pic:pic>
                  <pic:nvPicPr>
                    <pic:cNvPr descr="pic/2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Демонстрируется использование</w:t>
      </w:r>
      <w:r>
        <w:t xml:space="preserve"> </w:t>
      </w:r>
      <w:r>
        <w:rPr>
          <w:b/>
          <w:bCs/>
        </w:rPr>
        <w:t xml:space="preserve">интегралов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нумерованных уравнений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Символ интеграла</w:t>
      </w:r>
      <w:r>
        <w:t xml:space="preserve"> </w:t>
      </w:r>
      <w:r>
        <w:rPr>
          <w:rStyle w:val="VerbatimChar"/>
        </w:rPr>
        <w:t xml:space="preserve">\int</w:t>
      </w:r>
      <w:r>
        <w:t xml:space="preserve"> </w:t>
      </w:r>
      <w:r>
        <w:t xml:space="preserve">имеет пределы интегрирования, задаваемые через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\diff</w:t>
      </w:r>
      <w:r>
        <w:t xml:space="preserve"> </w:t>
      </w:r>
      <w:r>
        <w:t xml:space="preserve">определена как: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\diff</w:t>
      </w:r>
      <w:r>
        <w:rPr>
          <w:rStyle w:val="NormalTok"/>
        </w:rPr>
        <w:t xml:space="preserve">}{</w:t>
      </w:r>
      <w:r>
        <w:rPr>
          <w:rStyle w:val="FunctionTok"/>
        </w:rPr>
        <w:t xml:space="preserve">\mathop</w:t>
      </w:r>
      <w:r>
        <w:rPr>
          <w:rStyle w:val="NormalTok"/>
        </w:rPr>
        <w:t xml:space="preserve">{}</w:t>
      </w:r>
      <w:r>
        <w:rPr>
          <w:rStyle w:val="FunctionTok"/>
        </w:rPr>
        <w:t xml:space="preserve">\!</w:t>
      </w:r>
      <w:r>
        <w:rPr>
          <w:rStyle w:val="NormalTok"/>
        </w:rPr>
        <w:t xml:space="preserve">d}</w:t>
      </w:r>
    </w:p>
    <w:p>
      <w:pPr>
        <w:numPr>
          <w:ilvl w:val="0"/>
          <w:numId w:val="1000"/>
        </w:numPr>
      </w:pPr>
      <w:r>
        <w:t xml:space="preserve">и используется для корректного отображения дифференциала ( d ).</w:t>
      </w:r>
    </w:p>
    <w:p>
      <w:pPr>
        <w:numPr>
          <w:ilvl w:val="0"/>
          <w:numId w:val="1002"/>
        </w:numPr>
      </w:pPr>
      <w:r>
        <w:t xml:space="preserve">Окружение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 </w:t>
      </w:r>
      <w:r>
        <w:t xml:space="preserve">автоматически добавляет</w:t>
      </w:r>
      <w:r>
        <w:t xml:space="preserve"> </w:t>
      </w:r>
      <w:r>
        <w:rPr>
          <w:b/>
          <w:bCs/>
        </w:rPr>
        <w:t xml:space="preserve">нумерацию</w:t>
      </w:r>
      <w:r>
        <w:t xml:space="preserve"> </w:t>
      </w:r>
      <w:r>
        <w:t xml:space="preserve">формулы.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Изучить синтаксис длинных уравнений и способы добавления нумерации и интервалов в математическом режиме.</w:t>
      </w:r>
    </w:p>
    <w:p>
      <w:r>
        <w:pict>
          <v:rect style="width:0;height:1.5pt" o:hralign="center" o:hrstd="t" o:hr="t"/>
        </w:pict>
      </w:r>
    </w:p>
    <w:bookmarkEnd w:id="18"/>
    <w:bookmarkStart w:id="22" w:name="пакет-amsmath"/>
    <w:p>
      <w:pPr>
        <w:pStyle w:val="Heading4"/>
      </w:pPr>
      <w:r>
        <w:rPr>
          <w:b/>
          <w:bCs/>
        </w:rPr>
        <w:t xml:space="preserve">3.2 Пакет amsmath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Q_{n,0} &amp;= 1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Q_{0,k} = [k=0];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Q_{n,k} &amp;= Q_{n-1,k}+Q_{n-1,k-1}+</w:t>
      </w:r>
      <w:r>
        <w:rPr>
          <w:rStyle w:val="SpecialCharTok"/>
        </w:rPr>
        <w:t xml:space="preserve">\binom</w:t>
      </w:r>
      <w:r>
        <w:rPr>
          <w:rStyle w:val="SpecialStringTok"/>
        </w:rPr>
        <w:t xml:space="preserve">{n}{k},</w:t>
      </w:r>
      <w:r>
        <w:br/>
      </w:r>
      <w:r>
        <w:rPr>
          <w:rStyle w:val="SpecialCharTok"/>
        </w:rPr>
        <w:t xml:space="preserve">\quad\text</w:t>
      </w:r>
      <w:r>
        <w:rPr>
          <w:rStyle w:val="SpecialStringTok"/>
        </w:rPr>
        <w:t xml:space="preserve">{for </w:t>
      </w:r>
      <w:r>
        <w:rPr>
          <w:rStyle w:val="ErrorTok"/>
        </w:rPr>
        <w:t xml:space="preserve">$</w:t>
      </w:r>
      <w:r>
        <w:rPr>
          <w:rStyle w:val="SpecialStringTok"/>
        </w:rPr>
        <w:t xml:space="preserve">n</w:t>
      </w:r>
      <w:r>
        <w:rPr>
          <w:rStyle w:val="ErrorTok"/>
        </w:rPr>
        <w:t xml:space="preserve">$</w:t>
      </w:r>
      <w:r>
        <w:rPr>
          <w:rStyle w:val="SpecialStringTok"/>
        </w:rPr>
        <w:t xml:space="preserve">, </w:t>
      </w:r>
      <w:r>
        <w:rPr>
          <w:rStyle w:val="ErrorTok"/>
        </w:rPr>
        <w:t xml:space="preserve">$</w:t>
      </w:r>
      <w:r>
        <w:rPr>
          <w:rStyle w:val="SpecialStringTok"/>
        </w:rPr>
        <w:t xml:space="preserve">k&gt;0</w:t>
      </w:r>
      <w:r>
        <w:rPr>
          <w:rStyle w:val="ErrorTok"/>
        </w:rPr>
        <w:t xml:space="preserve">$</w:t>
      </w:r>
      <w:r>
        <w:rPr>
          <w:rStyle w:val="SpecialStringTok"/>
        </w:rPr>
        <w:t xml:space="preserve">.}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657600" cy="853440"/>
            <wp:effectExtent b="0" l="0" r="0" t="0"/>
            <wp:docPr descr="" title="" id="20" name="Picture"/>
            <a:graphic>
              <a:graphicData uri="http://schemas.openxmlformats.org/drawingml/2006/picture">
                <pic:pic>
                  <pic:nvPicPr>
                    <pic:cNvPr descr="pic/3.jp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Пакет</w:t>
      </w:r>
      <w:r>
        <w:t xml:space="preserve"> </w:t>
      </w:r>
      <w:r>
        <w:rPr>
          <w:b/>
          <w:bCs/>
        </w:rPr>
        <w:t xml:space="preserve">amsmath</w:t>
      </w:r>
      <w:r>
        <w:t xml:space="preserve"> </w:t>
      </w:r>
      <w:r>
        <w:t xml:space="preserve">предоставляет расширенные возможности для работы с формулами:</w:t>
      </w:r>
    </w:p>
    <w:p>
      <w:pPr>
        <w:pStyle w:val="Compact"/>
        <w:numPr>
          <w:ilvl w:val="0"/>
          <w:numId w:val="1003"/>
        </w:numPr>
      </w:pPr>
      <w:r>
        <w:t xml:space="preserve">Окружение</w:t>
      </w:r>
      <w:r>
        <w:t xml:space="preserve"> </w:t>
      </w:r>
      <w:r>
        <w:rPr>
          <w:rStyle w:val="VerbatimChar"/>
        </w:rPr>
        <w:t xml:space="preserve">align*</w:t>
      </w:r>
      <w:r>
        <w:t xml:space="preserve"> </w:t>
      </w:r>
      <w:r>
        <w:t xml:space="preserve">выравнивает уравнения по символу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\quad</w:t>
      </w:r>
      <w:r>
        <w:t xml:space="preserve"> </w:t>
      </w:r>
      <w:r>
        <w:t xml:space="preserve">добавляет горизонтальный пробел.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\text{}</w:t>
      </w:r>
      <w:r>
        <w:t xml:space="preserve"> </w:t>
      </w:r>
      <w:r>
        <w:t xml:space="preserve">вставляет обычный текст внутрь формулы.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\binom{n}{k}</w:t>
      </w:r>
      <w:r>
        <w:t xml:space="preserve"> </w:t>
      </w:r>
      <w:r>
        <w:t xml:space="preserve">создаёт</w:t>
      </w:r>
      <w:r>
        <w:t xml:space="preserve"> </w:t>
      </w:r>
      <w:r>
        <w:rPr>
          <w:b/>
          <w:bCs/>
        </w:rPr>
        <w:t xml:space="preserve">биномиальные коэффициенты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Показать применение выравнивания формул и оформление нескольких строк уравнений.</w:t>
      </w:r>
    </w:p>
    <w:p>
      <w:r>
        <w:pict>
          <v:rect style="width:0;height:1.5pt" o:hralign="center" o:hrstd="t" o:hr="t"/>
        </w:pict>
      </w:r>
    </w:p>
    <w:bookmarkEnd w:id="22"/>
    <w:bookmarkStart w:id="26" w:name="матрицы-ams-ams-matrices"/>
    <w:p>
      <w:pPr>
        <w:pStyle w:val="Heading4"/>
      </w:pPr>
      <w:r>
        <w:rPr>
          <w:b/>
          <w:bCs/>
        </w:rPr>
        <w:t xml:space="preserve">3.2.1 Матрицы AMS (AMS Matrices)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SpecialStringTok"/>
        </w:rPr>
        <w:t xml:space="preserve">\[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matrix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a &amp; b &amp; c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d &amp; e &amp; f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matrix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\quad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pmatrix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a &amp; b &amp; c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d &amp; e &amp; f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pmatrix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\quad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bmatrix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a &amp; b &amp; c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d &amp; e &amp; f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bmatrix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\]</w:t>
      </w:r>
    </w:p>
    <w:p>
      <w:pPr>
        <w:pStyle w:val="FirstParagraph"/>
      </w:pPr>
      <w:r>
        <w:drawing>
          <wp:inline>
            <wp:extent cx="3741420" cy="8153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c/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Здесь показано создание различных видов</w:t>
      </w:r>
      <w:r>
        <w:t xml:space="preserve"> </w:t>
      </w:r>
      <w:r>
        <w:rPr>
          <w:b/>
          <w:bCs/>
        </w:rPr>
        <w:t xml:space="preserve">матриц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matrix</w:t>
      </w:r>
      <w:r>
        <w:t xml:space="preserve"> </w:t>
      </w:r>
      <w:r>
        <w:t xml:space="preserve">— без скобок,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pmatrix</w:t>
      </w:r>
      <w:r>
        <w:t xml:space="preserve"> </w:t>
      </w:r>
      <w:r>
        <w:t xml:space="preserve">— в круглых скобках,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bmatrix</w:t>
      </w:r>
      <w:r>
        <w:t xml:space="preserve"> </w:t>
      </w:r>
      <w:r>
        <w:t xml:space="preserve">— в квадратных скобках.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Научиться оформлять матрицы с различными типами ограничивающих скобок.</w:t>
      </w:r>
    </w:p>
    <w:p>
      <w:r>
        <w:pict>
          <v:rect style="width:0;height:1.5pt" o:hralign="center" o:hrstd="t" o:hr="t"/>
        </w:pict>
      </w:r>
    </w:p>
    <w:bookmarkEnd w:id="26"/>
    <w:bookmarkStart w:id="30" w:name="X3036aad2cc459680a5b32cec0c65989190e7dc8"/>
    <w:p>
      <w:pPr>
        <w:pStyle w:val="Heading4"/>
      </w:pPr>
      <w:r>
        <w:rPr>
          <w:b/>
          <w:bCs/>
        </w:rPr>
        <w:t xml:space="preserve">3.3 Шрифты в математическом режиме (Fonts in Math Mode)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\mathrm</w:t>
      </w:r>
      <w:r>
        <w:rPr>
          <w:rStyle w:val="SpecialStringTok"/>
        </w:rPr>
        <w:t xml:space="preserve">{roman(upright)}$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\mathit</w:t>
      </w:r>
      <w:r>
        <w:rPr>
          <w:rStyle w:val="SpecialStringTok"/>
        </w:rPr>
        <w:t xml:space="preserve">{italic spaced as ‘text’}$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{boldface}$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\mathsf</w:t>
      </w:r>
      <w:r>
        <w:rPr>
          <w:rStyle w:val="SpecialStringTok"/>
        </w:rPr>
        <w:t xml:space="preserve">{sansserif}$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\mathtt</w:t>
      </w:r>
      <w:r>
        <w:rPr>
          <w:rStyle w:val="SpecialStringTok"/>
        </w:rPr>
        <w:t xml:space="preserve">{monospaced(typewriter)}$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\mathbb</w:t>
      </w:r>
      <w:r>
        <w:rPr>
          <w:rStyle w:val="SpecialStringTok"/>
        </w:rPr>
        <w:t xml:space="preserve">{ABC}$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 matrix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{M}$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{bad use }</w:t>
      </w:r>
      <w:r>
        <w:rPr>
          <w:rStyle w:val="SpecialStringTok"/>
        </w:rPr>
        <w:t xml:space="preserve"> size </w:t>
      </w:r>
      <w:r>
        <w:rPr>
          <w:rStyle w:val="SpecialCharTok"/>
        </w:rPr>
        <w:t xml:space="preserve">\neq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\mathit</w:t>
      </w:r>
      <w:r>
        <w:rPr>
          <w:rStyle w:val="SpecialStringTok"/>
        </w:rPr>
        <w:t xml:space="preserve">{size} </w:t>
      </w:r>
      <w:r>
        <w:rPr>
          <w:rStyle w:val="SpecialCharTok"/>
        </w:rPr>
        <w:t xml:space="preserve">\neq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\mathrm</w:t>
      </w:r>
      <w:r>
        <w:rPr>
          <w:rStyle w:val="SpecialStringTok"/>
        </w:rPr>
        <w:t xml:space="preserve">{size} $</w:t>
      </w:r>
      <w:r>
        <w:br/>
      </w:r>
      <w:r>
        <w:br/>
      </w:r>
      <w:r>
        <w:rPr>
          <w:rStyle w:val="FunctionTok"/>
        </w:rPr>
        <w:t xml:space="preserve">\textit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{bad use }</w:t>
      </w:r>
      <w:r>
        <w:rPr>
          <w:rStyle w:val="SpecialStringTok"/>
        </w:rPr>
        <w:t xml:space="preserve"> size </w:t>
      </w:r>
      <w:r>
        <w:rPr>
          <w:rStyle w:val="SpecialCharTok"/>
        </w:rPr>
        <w:t xml:space="preserve">\neq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\mathit</w:t>
      </w:r>
      <w:r>
        <w:rPr>
          <w:rStyle w:val="SpecialStringTok"/>
        </w:rPr>
        <w:t xml:space="preserve">{size} </w:t>
      </w:r>
      <w:r>
        <w:rPr>
          <w:rStyle w:val="SpecialCharTok"/>
        </w:rPr>
        <w:t xml:space="preserve">\neq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\mathrm</w:t>
      </w:r>
      <w:r>
        <w:rPr>
          <w:rStyle w:val="SpecialStringTok"/>
        </w:rPr>
        <w:t xml:space="preserve">{size} $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2567940" cy="24917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ic/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Продемонстрированы различные команды изменения шрифта: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\mathrm{}</w:t>
            </w:r>
          </w:p>
        </w:tc>
        <w:tc>
          <w:tcPr/>
          <w:p>
            <w:pPr>
              <w:pStyle w:val="Compact"/>
            </w:pPr>
            <w:r>
              <w:t xml:space="preserve">Прямое начертание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\mathit{}</w:t>
            </w:r>
          </w:p>
        </w:tc>
        <w:tc>
          <w:tcPr/>
          <w:p>
            <w:pPr>
              <w:pStyle w:val="Compact"/>
            </w:pPr>
            <w:r>
              <w:t xml:space="preserve">Курсив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\mathbf{}</w:t>
            </w:r>
          </w:p>
        </w:tc>
        <w:tc>
          <w:tcPr/>
          <w:p>
            <w:pPr>
              <w:pStyle w:val="Compact"/>
            </w:pPr>
            <w:r>
              <w:t xml:space="preserve">Жирный шрифт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\mathsf{}</w:t>
            </w:r>
          </w:p>
        </w:tc>
        <w:tc>
          <w:tcPr/>
          <w:p>
            <w:pPr>
              <w:pStyle w:val="Compact"/>
            </w:pPr>
            <w:r>
              <w:t xml:space="preserve">Без засечек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\mathtt{}</w:t>
            </w:r>
          </w:p>
        </w:tc>
        <w:tc>
          <w:tcPr/>
          <w:p>
            <w:pPr>
              <w:pStyle w:val="Compact"/>
            </w:pPr>
            <w:r>
              <w:t xml:space="preserve">Моноширинный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\mathbb{}</w:t>
            </w:r>
          </w:p>
        </w:tc>
        <w:tc>
          <w:tcPr/>
          <w:p>
            <w:pPr>
              <w:pStyle w:val="Compact"/>
            </w:pPr>
            <w:r>
              <w:t xml:space="preserve">Двойной штрих (blackboard bold)</w:t>
            </w:r>
          </w:p>
        </w:tc>
      </w:tr>
    </w:tbl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\text{}</w:t>
      </w:r>
      <w:r>
        <w:t xml:space="preserve"> </w:t>
      </w:r>
      <w:r>
        <w:t xml:space="preserve">позволяет вставлять обычный текст в математическом режиме с правильными интервалами.</w:t>
      </w:r>
    </w:p>
    <w:p>
      <w:pPr>
        <w:pStyle w:val="BodyText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Понять назначение и визуальные различия математических шрифтов.</w:t>
      </w:r>
    </w:p>
    <w:p>
      <w:r>
        <w:pict>
          <v:rect style="width:0;height:1.5pt" o:hralign="center" o:hrstd="t" o:hr="t"/>
        </w:pict>
      </w:r>
    </w:p>
    <w:bookmarkEnd w:id="30"/>
    <w:bookmarkStart w:id="34" w:name="X6d76fc7c9e12eee1fba10499971170f7db74e82"/>
    <w:p>
      <w:pPr>
        <w:pStyle w:val="Heading4"/>
      </w:pPr>
      <w:r>
        <w:rPr>
          <w:b/>
          <w:bCs/>
        </w:rPr>
        <w:t xml:space="preserve">3.4 Дополнительные выравнивания amsmath (Further amsmath Alignments)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gather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P(x)=ax^{5}+bx^{4}+cx^{3}+dx^{2}+ex +f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x^2+x=10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gather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multline*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(a+b+c+d)x^{5}+(b+c+d+e)x^{4}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+(c+d+e+f)x^{3}+(d+e+f+a)x^{2}+(e+f+a+b)x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+ (f+a+b+c)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multline*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03702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ic/6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gather</w:t>
      </w:r>
      <w:r>
        <w:t xml:space="preserve"> </w:t>
      </w:r>
      <w:r>
        <w:t xml:space="preserve">— выравнивает несколько строк по центру.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multline</w:t>
      </w:r>
      <w:r>
        <w:t xml:space="preserve"> </w:t>
      </w:r>
      <w:r>
        <w:t xml:space="preserve">— используется для длинных формул, переносимых на несколько строк.</w:t>
      </w:r>
      <w:r>
        <w:t xml:space="preserve"> </w:t>
      </w:r>
      <w:r>
        <w:t xml:space="preserve">Первая строка выравнивается влево, последняя — вправо.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Научиться красиво оформлять многострочные и громоздкие уравнения.</w:t>
      </w:r>
    </w:p>
    <w:p>
      <w:r>
        <w:pict>
          <v:rect style="width:0;height:1.5pt" o:hralign="center" o:hrstd="t" o:hr="t"/>
        </w:pict>
      </w:r>
    </w:p>
    <w:bookmarkEnd w:id="34"/>
    <w:bookmarkStart w:id="38" w:name="X09be27d8e6372de26ae3b686e0eb1b63f3101c0"/>
    <w:p>
      <w:pPr>
        <w:pStyle w:val="Heading4"/>
      </w:pPr>
      <w:r>
        <w:rPr>
          <w:b/>
          <w:bCs/>
        </w:rPr>
        <w:t xml:space="preserve">3.4.1 Столбцы в математических выравниваниях (Columns in Math Alignments)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a &amp;= b+1 &amp; c &amp;= d+2 &amp; e &amp;= f+3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r &amp;= s^{2} &amp; t &amp;=u^{3} &amp; v &amp;= w^{4}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\item</w:t>
      </w:r>
      <w:r>
        <w:br/>
      </w:r>
      <w:r>
        <w:rPr>
          <w:rStyle w:val="SpecialStringTok"/>
        </w:rPr>
        <w:t xml:space="preserve">$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[t]</w:t>
      </w:r>
      <w:r>
        <w:br/>
      </w:r>
      <w:r>
        <w:rPr>
          <w:rStyle w:val="SpecialStringTok"/>
        </w:rPr>
        <w:t xml:space="preserve">a&amp;=b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c&amp;=d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br/>
      </w:r>
      <w:r>
        <w:rPr>
          <w:rStyle w:val="SpecialStringTok"/>
        </w:rPr>
        <w:t xml:space="preserve">$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a&amp;=b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c&amp;=d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$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351020" cy="172212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ic/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align*</w:t>
      </w:r>
      <w:r>
        <w:t xml:space="preserve"> </w:t>
      </w:r>
      <w:r>
        <w:t xml:space="preserve">создаёт таблицу уравнений, выравнивая их по знакам равенства.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aligned</w:t>
      </w:r>
      <w:r>
        <w:t xml:space="preserve"> </w:t>
      </w:r>
      <w:r>
        <w:t xml:space="preserve">используется внутри других формул для небольших систем уравнений.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[t]</w:t>
      </w:r>
      <w:r>
        <w:t xml:space="preserve"> </w:t>
      </w:r>
      <w:r>
        <w:t xml:space="preserve">задаёт выравнивание по верхней строке блока.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Освоить создание многоколонных структур уравнений и вложенных блоков.</w:t>
      </w:r>
    </w:p>
    <w:p>
      <w:r>
        <w:pict>
          <v:rect style="width:0;height:1.5pt" o:hralign="center" o:hrstd="t" o:hr="t"/>
        </w:pict>
      </w:r>
    </w:p>
    <w:bookmarkEnd w:id="38"/>
    <w:bookmarkStart w:id="42" w:name="жирный-математический-шрифт-bold-math"/>
    <w:p>
      <w:pPr>
        <w:pStyle w:val="Heading4"/>
      </w:pPr>
      <w:r>
        <w:rPr>
          <w:b/>
          <w:bCs/>
        </w:rPr>
        <w:t xml:space="preserve">3.5 Жирный математический шрифт (Bold Math)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NormalTok"/>
        </w:rPr>
        <w:t xml:space="preserve">(x+y)(x-y)=x^{2}-y^{2}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\boldmath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$(x+y)(x-y)=x^{2}-y^{2}$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 r^2$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(x+</w:t>
      </w:r>
      <w:r>
        <w:rPr>
          <w:rStyle w:val="FunctionTok"/>
        </w:rPr>
        <w:t xml:space="preserve">\mathbf</w:t>
      </w:r>
      <w:r>
        <w:rPr>
          <w:rStyle w:val="NormalTok"/>
        </w:rPr>
        <w:t xml:space="preserve">{y})(x-</w:t>
      </w:r>
      <w:r>
        <w:rPr>
          <w:rStyle w:val="FunctionTok"/>
        </w:rPr>
        <w:t xml:space="preserve">\mathbf</w:t>
      </w:r>
      <w:r>
        <w:rPr>
          <w:rStyle w:val="NormalTok"/>
        </w:rPr>
        <w:t xml:space="preserve">{y})=x^{2}-{</w:t>
      </w:r>
      <w:r>
        <w:rPr>
          <w:rStyle w:val="FunctionTok"/>
        </w:rPr>
        <w:t xml:space="preserve">\mathbf</w:t>
      </w:r>
      <w:r>
        <w:rPr>
          <w:rStyle w:val="NormalTok"/>
        </w:rPr>
        <w:t xml:space="preserve">{y}}^{2}</w:t>
      </w:r>
      <w:r>
        <w:br/>
      </w:r>
      <w:r>
        <w:rPr>
          <w:rStyle w:val="FunctionTok"/>
        </w:rPr>
        <w:t xml:space="preserve">\mathbf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\pi</w:t>
      </w:r>
      <w:r>
        <w:rPr>
          <w:rStyle w:val="NormalTok"/>
        </w:rPr>
        <w:t xml:space="preserve">} r^2</w:t>
      </w:r>
      <w:r>
        <w:br/>
      </w:r>
      <w:r>
        <w:rPr>
          <w:rStyle w:val="NormalTok"/>
        </w:rPr>
        <w:t xml:space="preserve">(x+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{y})(x-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{y}) 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{=} x^{2}-{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{y}}^{2}</w:t>
      </w:r>
      <w:r>
        <w:br/>
      </w:r>
      <w:r>
        <w:rPr>
          <w:rStyle w:val="FunctionTok"/>
        </w:rPr>
        <w:t xml:space="preserve">\alpha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\alpha</w:t>
      </w:r>
      <w:r>
        <w:rPr>
          <w:rStyle w:val="NormalTok"/>
        </w:rPr>
        <w:t xml:space="preserve">} &lt; </w:t>
      </w:r>
      <w:r>
        <w:rPr>
          <w:rStyle w:val="FunctionTok"/>
        </w:rPr>
        <w:t xml:space="preserve">\beta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\bm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\beta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227320" cy="64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ic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\boldmath</w:t>
      </w:r>
      <w:r>
        <w:t xml:space="preserve"> </w:t>
      </w:r>
      <w:r>
        <w:t xml:space="preserve">делает всю формулу жирной.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\mathbf{}</w:t>
      </w:r>
      <w:r>
        <w:t xml:space="preserve"> </w:t>
      </w:r>
      <w:r>
        <w:t xml:space="preserve">делает жирными только латинские буквы.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\bm{}</w:t>
      </w:r>
      <w:r>
        <w:t xml:space="preserve"> </w:t>
      </w:r>
      <w:r>
        <w:t xml:space="preserve">(из пакета</w:t>
      </w:r>
      <w:r>
        <w:t xml:space="preserve"> </w:t>
      </w:r>
      <w:r>
        <w:rPr>
          <w:b/>
          <w:bCs/>
        </w:rPr>
        <w:t xml:space="preserve">bm</w:t>
      </w:r>
      <w:r>
        <w:t xml:space="preserve">) позволяет выделять жирным любые символы, включая греческие.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Продемонстрировать способы выделения важных элементов в формулах.</w:t>
      </w:r>
    </w:p>
    <w:p>
      <w:r>
        <w:pict>
          <v:rect style="width:0;height:1.5pt" o:hralign="center" o:hrstd="t" o:hr="t"/>
        </w:pict>
      </w:r>
    </w:p>
    <w:bookmarkEnd w:id="42"/>
    <w:bookmarkStart w:id="46" w:name="пакет-mathtools"/>
    <w:p>
      <w:pPr>
        <w:pStyle w:val="Heading4"/>
      </w:pPr>
      <w:r>
        <w:rPr>
          <w:b/>
          <w:bCs/>
        </w:rPr>
        <w:t xml:space="preserve">3.6 Пакет mathtools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SpecialStringTok"/>
        </w:rPr>
        <w:t xml:space="preserve">\[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pmatrix*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[r]</w:t>
      </w:r>
      <w:r>
        <w:br/>
      </w:r>
      <w:r>
        <w:rPr>
          <w:rStyle w:val="SpecialStringTok"/>
        </w:rPr>
        <w:t xml:space="preserve">10&amp;11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1&amp;2</w:t>
      </w:r>
      <w:r>
        <w:rPr>
          <w:rStyle w:val="SpecialCharTok"/>
        </w:rPr>
        <w:t xml:space="preserve">\\</w:t>
      </w:r>
      <w:r>
        <w:rPr>
          <w:rStyle w:val="SpecialStringTok"/>
        </w:rPr>
        <w:t xml:space="preserve">-5&amp;-6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pmatrix*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\]</w:t>
      </w:r>
    </w:p>
    <w:p>
      <w:pPr>
        <w:pStyle w:val="FirstParagraph"/>
      </w:pPr>
      <w:r>
        <w:drawing>
          <wp:inline>
            <wp:extent cx="1082040" cy="7239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ic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Пакет</w:t>
      </w:r>
      <w:r>
        <w:t xml:space="preserve"> </w:t>
      </w:r>
      <w:r>
        <w:rPr>
          <w:b/>
          <w:bCs/>
        </w:rPr>
        <w:t xml:space="preserve">mathtools</w:t>
      </w:r>
      <w:r>
        <w:t xml:space="preserve"> </w:t>
      </w:r>
      <w:r>
        <w:t xml:space="preserve">расширяет возможности</w:t>
      </w:r>
      <w:r>
        <w:t xml:space="preserve"> </w:t>
      </w:r>
      <w:r>
        <w:rPr>
          <w:b/>
          <w:bCs/>
        </w:rPr>
        <w:t xml:space="preserve">amsmath</w:t>
      </w:r>
      <w:r>
        <w:t xml:space="preserve">.</w:t>
      </w:r>
      <w:r>
        <w:t xml:space="preserve"> </w:t>
      </w:r>
      <w:r>
        <w:t xml:space="preserve">Окружение</w:t>
      </w:r>
      <w:r>
        <w:t xml:space="preserve"> </w:t>
      </w:r>
      <w:r>
        <w:rPr>
          <w:rStyle w:val="VerbatimChar"/>
        </w:rPr>
        <w:t xml:space="preserve">pmatrix*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[r]</w:t>
      </w:r>
      <w:r>
        <w:t xml:space="preserve"> </w:t>
      </w:r>
      <w:r>
        <w:t xml:space="preserve">выравнивает элементы по правому краю.</w:t>
      </w:r>
    </w:p>
    <w:p>
      <w:pPr>
        <w:pStyle w:val="BodyText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Позволяет более точно управлять форматированием матриц и формул.</w:t>
      </w:r>
    </w:p>
    <w:p>
      <w:r>
        <w:pict>
          <v:rect style="width:0;height:1.5pt" o:hralign="center" o:hrstd="t" o:hr="t"/>
        </w:pict>
      </w:r>
    </w:p>
    <w:bookmarkEnd w:id="46"/>
    <w:bookmarkStart w:id="50" w:name="unicode-math"/>
    <w:p>
      <w:pPr>
        <w:pStyle w:val="Heading4"/>
      </w:pPr>
      <w:r>
        <w:rPr>
          <w:b/>
          <w:bCs/>
        </w:rPr>
        <w:t xml:space="preserve">3.7 Unicode Math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CommentTok"/>
        </w:rPr>
        <w:t xml:space="preserve">% !TEX lualatex</w:t>
      </w:r>
      <w:r>
        <w:br/>
      </w:r>
      <w:r>
        <w:rPr>
          <w:rStyle w:val="BuiltInTok"/>
        </w:rPr>
        <w:t xml:space="preserve">\documentclass</w:t>
      </w:r>
      <w:r>
        <w:rPr>
          <w:rStyle w:val="NormalTok"/>
        </w:rPr>
        <w:t xml:space="preserve">[a4paper]{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unicode-math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\setmainfont</w:t>
      </w:r>
      <w:r>
        <w:rPr>
          <w:rStyle w:val="NormalTok"/>
        </w:rPr>
        <w:t xml:space="preserve">{TeX Gyre Pagella}</w:t>
      </w:r>
      <w:r>
        <w:br/>
      </w:r>
      <w:r>
        <w:rPr>
          <w:rStyle w:val="FunctionTok"/>
        </w:rPr>
        <w:t xml:space="preserve">\setmathfont</w:t>
      </w:r>
      <w:r>
        <w:rPr>
          <w:rStyle w:val="NormalTok"/>
        </w:rPr>
        <w:t xml:space="preserve">{TeX Gyre Pagella Math}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One two three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 + 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 = 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\alpha\beta</w:t>
      </w:r>
      <w:r>
        <w:rPr>
          <w:rStyle w:val="SpecialStringTok"/>
        </w:rPr>
        <w:t xml:space="preserve">)</w:t>
      </w:r>
      <w:r>
        <w:br/>
      </w:r>
      <w:r>
        <w:rPr>
          <w:rStyle w:val="SpecialStringTok"/>
        </w:rPr>
        <w:t xml:space="preserve">\]</w:t>
      </w:r>
      <w:r>
        <w:br/>
      </w:r>
      <w:r>
        <w:rPr>
          <w:rStyle w:val="NormalTok"/>
        </w:rPr>
        <w:t xml:space="preserve">Unicode Math Alphanumerics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StringTok"/>
        </w:rPr>
        <w:t xml:space="preserve">A + </w:t>
      </w:r>
      <w:r>
        <w:rPr>
          <w:rStyle w:val="SpecialCharTok"/>
        </w:rPr>
        <w:t xml:space="preserve">\symfrak</w:t>
      </w:r>
      <w:r>
        <w:rPr>
          <w:rStyle w:val="SpecialStringTok"/>
        </w:rPr>
        <w:t xml:space="preserve">{A} + </w:t>
      </w:r>
      <w:r>
        <w:rPr>
          <w:rStyle w:val="SpecialCharTok"/>
        </w:rPr>
        <w:t xml:space="preserve">\symbf</w:t>
      </w:r>
      <w:r>
        <w:rPr>
          <w:rStyle w:val="SpecialStringTok"/>
        </w:rPr>
        <w:t xml:space="preserve">{A} + </w:t>
      </w:r>
      <w:r>
        <w:rPr>
          <w:rStyle w:val="SpecialCharTok"/>
        </w:rPr>
        <w:t xml:space="preserve">\symcal</w:t>
      </w:r>
      <w:r>
        <w:rPr>
          <w:rStyle w:val="SpecialStringTok"/>
        </w:rPr>
        <w:t xml:space="preserve">{A} + </w:t>
      </w:r>
      <w:r>
        <w:rPr>
          <w:rStyle w:val="SpecialCharTok"/>
        </w:rPr>
        <w:t xml:space="preserve">\symscr</w:t>
      </w:r>
      <w:r>
        <w:rPr>
          <w:rStyle w:val="SpecialStringTok"/>
        </w:rPr>
        <w:t xml:space="preserve">{A} + </w:t>
      </w:r>
      <w:r>
        <w:rPr>
          <w:rStyle w:val="SpecialCharTok"/>
        </w:rPr>
        <w:t xml:space="preserve">\symbb</w:t>
      </w:r>
      <w:r>
        <w:rPr>
          <w:rStyle w:val="SpecialStringTok"/>
        </w:rPr>
        <w:t xml:space="preserve">{A}</w:t>
      </w:r>
      <w:r>
        <w:br/>
      </w:r>
      <w:r>
        <w:rPr>
          <w:rStyle w:val="SpecialStringTok"/>
        </w:rPr>
        <w:t xml:space="preserve">\]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787140" cy="146304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ic/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В этом разделе продемонстрировано использование</w:t>
      </w:r>
      <w:r>
        <w:t xml:space="preserve"> </w:t>
      </w:r>
      <w:r>
        <w:rPr>
          <w:b/>
          <w:bCs/>
        </w:rPr>
        <w:t xml:space="preserve">пакета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unicode-math</w:t>
      </w:r>
      <w:r>
        <w:t xml:space="preserve"> </w:t>
      </w:r>
      <w:r>
        <w:t xml:space="preserve">с движком</w:t>
      </w:r>
      <w:r>
        <w:t xml:space="preserve"> </w:t>
      </w:r>
      <w:r>
        <w:rPr>
          <w:b/>
          <w:bCs/>
        </w:rPr>
        <w:t xml:space="preserve">LuaLaTeX</w:t>
      </w:r>
      <w:r>
        <w:t xml:space="preserve"> </w:t>
      </w:r>
      <w:r>
        <w:t xml:space="preserve">для работы с</w:t>
      </w:r>
      <w:r>
        <w:t xml:space="preserve"> </w:t>
      </w:r>
      <w:r>
        <w:rPr>
          <w:b/>
          <w:bCs/>
        </w:rPr>
        <w:t xml:space="preserve">OpenType-шрифтами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t xml:space="preserve">Подключается пакет</w:t>
      </w:r>
      <w:r>
        <w:t xml:space="preserve"> </w:t>
      </w:r>
      <w:r>
        <w:rPr>
          <w:rStyle w:val="VerbatimChar"/>
        </w:rPr>
        <w:t xml:space="preserve">unicode-math</w:t>
      </w:r>
      <w:r>
        <w:t xml:space="preserve">, который позволяет использовать современные математические шрифты.</w:t>
      </w:r>
    </w:p>
    <w:p>
      <w:pPr>
        <w:pStyle w:val="Compact"/>
        <w:numPr>
          <w:ilvl w:val="0"/>
          <w:numId w:val="1008"/>
        </w:numPr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\setmainfont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\setmathfont</w:t>
      </w:r>
      <w:r>
        <w:t xml:space="preserve"> </w:t>
      </w:r>
      <w:r>
        <w:t xml:space="preserve">задают основной и математический шрифты документа.</w:t>
      </w:r>
    </w:p>
    <w:p>
      <w:pPr>
        <w:pStyle w:val="Compact"/>
        <w:numPr>
          <w:ilvl w:val="0"/>
          <w:numId w:val="1008"/>
        </w:numPr>
      </w:pPr>
      <w:r>
        <w:t xml:space="preserve">Используются греческие буквы (</w:t>
      </w:r>
      <w:r>
        <w:rPr>
          <w:rStyle w:val="VerbatimChar"/>
        </w:rPr>
        <w:t xml:space="preserve">\alpha</w:t>
      </w:r>
      <w:r>
        <w:t xml:space="preserve">,</w:t>
      </w:r>
      <w:r>
        <w:t xml:space="preserve"> </w:t>
      </w:r>
      <w:r>
        <w:rPr>
          <w:rStyle w:val="VerbatimChar"/>
        </w:rPr>
        <w:t xml:space="preserve">\beta</w:t>
      </w:r>
      <w:r>
        <w:t xml:space="preserve">) и различные математические начертания:</w:t>
      </w:r>
      <w:r>
        <w:t xml:space="preserve"> </w:t>
      </w:r>
      <w:r>
        <w:rPr>
          <w:rStyle w:val="VerbatimChar"/>
        </w:rPr>
        <w:t xml:space="preserve">\symfrak{A}</w:t>
      </w:r>
      <w:r>
        <w:t xml:space="preserve"> </w:t>
      </w:r>
      <w:r>
        <w:t xml:space="preserve">(готический),</w:t>
      </w:r>
      <w:r>
        <w:t xml:space="preserve"> </w:t>
      </w:r>
      <w:r>
        <w:rPr>
          <w:rStyle w:val="VerbatimChar"/>
        </w:rPr>
        <w:t xml:space="preserve">\symbf{A}</w:t>
      </w:r>
      <w:r>
        <w:t xml:space="preserve"> </w:t>
      </w:r>
      <w:r>
        <w:t xml:space="preserve">(жирный),</w:t>
      </w:r>
      <w:r>
        <w:t xml:space="preserve"> </w:t>
      </w:r>
      <w:r>
        <w:rPr>
          <w:rStyle w:val="VerbatimChar"/>
        </w:rPr>
        <w:t xml:space="preserve">\symcal{A}</w:t>
      </w:r>
      <w:r>
        <w:t xml:space="preserve"> </w:t>
      </w:r>
      <w:r>
        <w:t xml:space="preserve">(каллиграфический),</w:t>
      </w:r>
      <w:r>
        <w:t xml:space="preserve"> </w:t>
      </w:r>
      <w:r>
        <w:rPr>
          <w:rStyle w:val="VerbatimChar"/>
        </w:rPr>
        <w:t xml:space="preserve">\symscr{A}</w:t>
      </w:r>
      <w:r>
        <w:t xml:space="preserve"> </w:t>
      </w:r>
      <w:r>
        <w:t xml:space="preserve">(рукописный),</w:t>
      </w:r>
      <w:r>
        <w:t xml:space="preserve"> </w:t>
      </w:r>
      <w:r>
        <w:rPr>
          <w:rStyle w:val="VerbatimChar"/>
        </w:rPr>
        <w:t xml:space="preserve">\symbb{A}</w:t>
      </w:r>
      <w:r>
        <w:t xml:space="preserve"> </w:t>
      </w:r>
      <w:r>
        <w:t xml:space="preserve">(двойной штрих).</w:t>
      </w:r>
    </w:p>
    <w:p>
      <w:pPr>
        <w:pStyle w:val="FirstParagraph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Познакомиться с современным способом отображения математических шрифтов в LaTeX и возможностями использования Unicode-символов.</w:t>
      </w:r>
    </w:p>
    <w:p>
      <w:r>
        <w:pict>
          <v:rect style="width:0;height:1.5pt" o:hralign="center" o:hrstd="t" o:hr="t"/>
        </w:pict>
      </w:r>
    </w:p>
    <w:bookmarkEnd w:id="50"/>
    <w:bookmarkStart w:id="54" w:name="греческие-буквы-greek-letters"/>
    <w:p>
      <w:pPr>
        <w:pStyle w:val="Heading4"/>
      </w:pPr>
      <w:r>
        <w:rPr>
          <w:b/>
          <w:bCs/>
        </w:rPr>
        <w:t xml:space="preserve">Греческие буквы (Greek Letters)</w:t>
      </w:r>
    </w:p>
    <w:p>
      <w:pPr>
        <w:pStyle w:val="FirstParagraph"/>
      </w:pPr>
      <w:r>
        <w:rPr>
          <w:b/>
          <w:bCs/>
        </w:rPr>
        <w:t xml:space="preserve">Код: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\xi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\Delta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\Psi</w:t>
      </w:r>
      <w:r>
        <w:rPr>
          <w:rStyle w:val="SpecialStringTok"/>
        </w:rPr>
        <w:t xml:space="preserve">$</w:t>
      </w:r>
      <w:r>
        <w:br/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\Delta</w:t>
      </w:r>
      <w:r>
        <w:rPr>
          <w:rStyle w:val="SpecialStringTok"/>
        </w:rPr>
        <w:t xml:space="preserve">$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615440" cy="2743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ic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Пояснение:</w:t>
      </w:r>
      <w:r>
        <w:t xml:space="preserve"> </w:t>
      </w:r>
      <w:r>
        <w:t xml:space="preserve">Используются греческие символы — как строчные, так и прописные.</w:t>
      </w:r>
      <w:r>
        <w:t xml:space="preserve"> </w:t>
      </w:r>
      <w:r>
        <w:t xml:space="preserve">Команды пишутся в виде</w:t>
      </w:r>
      <w:r>
        <w:t xml:space="preserve"> </w:t>
      </w:r>
      <w:r>
        <w:rPr>
          <w:rStyle w:val="VerbatimChar"/>
        </w:rPr>
        <w:t xml:space="preserve">\alpha</w:t>
      </w:r>
      <w:r>
        <w:t xml:space="preserve">,</w:t>
      </w:r>
      <w:r>
        <w:t xml:space="preserve"> </w:t>
      </w:r>
      <w:r>
        <w:rPr>
          <w:rStyle w:val="VerbatimChar"/>
        </w:rPr>
        <w:t xml:space="preserve">\beta</w:t>
      </w:r>
      <w:r>
        <w:t xml:space="preserve">,</w:t>
      </w:r>
      <w:r>
        <w:t xml:space="preserve"> </w:t>
      </w:r>
      <w:r>
        <w:rPr>
          <w:rStyle w:val="VerbatimChar"/>
        </w:rPr>
        <w:t xml:space="preserve">\Gamma</w:t>
      </w:r>
      <w:r>
        <w:t xml:space="preserve">,</w:t>
      </w:r>
      <w:r>
        <w:t xml:space="preserve"> </w:t>
      </w:r>
      <w:r>
        <w:rPr>
          <w:rStyle w:val="VerbatimChar"/>
        </w:rPr>
        <w:t xml:space="preserve">\Omega</w:t>
      </w:r>
      <w:r>
        <w:t xml:space="preserve"> </w:t>
      </w:r>
      <w:r>
        <w:t xml:space="preserve">и т. д.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выводы"/>
    <w:p>
      <w:pPr>
        <w:pStyle w:val="Heading3"/>
      </w:pPr>
      <w:r>
        <w:rPr>
          <w:b/>
          <w:bCs/>
        </w:rPr>
        <w:t xml:space="preserve">Выводы</w:t>
      </w:r>
    </w:p>
    <w:p>
      <w:pPr>
        <w:pStyle w:val="Compact"/>
        <w:numPr>
          <w:ilvl w:val="0"/>
          <w:numId w:val="1009"/>
        </w:numPr>
      </w:pPr>
      <w:r>
        <w:t xml:space="preserve">Освоены основы математического режима LaTeX — inline и display.</w:t>
      </w:r>
    </w:p>
    <w:p>
      <w:pPr>
        <w:pStyle w:val="Compact"/>
        <w:numPr>
          <w:ilvl w:val="0"/>
          <w:numId w:val="1009"/>
        </w:numPr>
      </w:pPr>
      <w:r>
        <w:t xml:space="preserve">Изучены возможности пакетов</w:t>
      </w:r>
      <w:r>
        <w:t xml:space="preserve"> </w:t>
      </w:r>
      <w:r>
        <w:rPr>
          <w:b/>
          <w:bCs/>
        </w:rPr>
        <w:t xml:space="preserve">amsmath</w:t>
      </w:r>
      <w:r>
        <w:t xml:space="preserve">,</w:t>
      </w:r>
      <w:r>
        <w:t xml:space="preserve"> </w:t>
      </w:r>
      <w:r>
        <w:rPr>
          <w:b/>
          <w:bCs/>
        </w:rPr>
        <w:t xml:space="preserve">bm</w:t>
      </w:r>
      <w:r>
        <w:t xml:space="preserve">,</w:t>
      </w:r>
      <w:r>
        <w:t xml:space="preserve"> </w:t>
      </w:r>
      <w:r>
        <w:rPr>
          <w:b/>
          <w:bCs/>
        </w:rPr>
        <w:t xml:space="preserve">mathtools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unicode-math</w:t>
      </w:r>
      <w:r>
        <w:t xml:space="preserve"> </w:t>
      </w:r>
      <w:r>
        <w:t xml:space="preserve">для форматирования формул.</w:t>
      </w:r>
    </w:p>
    <w:p>
      <w:pPr>
        <w:pStyle w:val="Compact"/>
        <w:numPr>
          <w:ilvl w:val="0"/>
          <w:numId w:val="1009"/>
        </w:numPr>
      </w:pPr>
      <w:r>
        <w:t xml:space="preserve">Разобраны способы выравнивания и создания матриц.</w:t>
      </w:r>
    </w:p>
    <w:p>
      <w:pPr>
        <w:pStyle w:val="Compact"/>
        <w:numPr>
          <w:ilvl w:val="0"/>
          <w:numId w:val="1009"/>
        </w:numPr>
      </w:pPr>
      <w:r>
        <w:t xml:space="preserve">Опробованы различные стили шрифта и жирное выделение символов.</w:t>
      </w:r>
    </w:p>
    <w:p>
      <w:pPr>
        <w:pStyle w:val="Compact"/>
        <w:numPr>
          <w:ilvl w:val="0"/>
          <w:numId w:val="1009"/>
        </w:numPr>
      </w:pPr>
      <w:r>
        <w:t xml:space="preserve">Изучено применение греческих букв и Unicode-математики.</w:t>
      </w:r>
    </w:p>
    <w:p>
      <w:pPr>
        <w:pStyle w:val="Compact"/>
        <w:numPr>
          <w:ilvl w:val="0"/>
          <w:numId w:val="1009"/>
        </w:numPr>
      </w:pPr>
      <w:r>
        <w:t xml:space="preserve">Получен опыт создания профессионально оформленных математических документов.</w:t>
      </w:r>
    </w:p>
    <w:p>
      <w:r>
        <w:pict>
          <v:rect style="width:0;height:1.5pt" o:hralign="center" o:hrstd="t" o:hr="t"/>
        </w:pict>
      </w:r>
    </w:p>
    <w:bookmarkEnd w:id="56"/>
    <w:bookmarkStart w:id="57" w:name="выполненные-упражнения"/>
    <w:p>
      <w:pPr>
        <w:pStyle w:val="Heading3"/>
      </w:pPr>
      <w:r>
        <w:rPr>
          <w:b/>
          <w:bCs/>
        </w:rPr>
        <w:t xml:space="preserve">Выполненные упражнения</w:t>
      </w:r>
    </w:p>
    <w:p>
      <w:pPr>
        <w:pStyle w:val="FirstParagraph"/>
      </w:pPr>
      <w:r>
        <w:t xml:space="preserve">Из раздела</w:t>
      </w:r>
      <w:r>
        <w:t xml:space="preserve"> </w:t>
      </w:r>
      <w:r>
        <w:rPr>
          <w:b/>
          <w:bCs/>
        </w:rPr>
        <w:t xml:space="preserve">3.8 Exercises</w:t>
      </w:r>
      <w:r>
        <w:t xml:space="preserve"> </w:t>
      </w:r>
      <w:r>
        <w:t xml:space="preserve">выполнены следующие задания: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Попробуйте базовую работу с математическим режимом:</w:t>
      </w:r>
      <w:r>
        <w:t xml:space="preserve"> </w:t>
      </w:r>
      <w:r>
        <w:t xml:space="preserve">возьмите примеры и переключайтесь между встроенным</w:t>
      </w:r>
      <w:r>
        <w:t xml:space="preserve"> </w:t>
      </w:r>
      <w:r>
        <w:rPr>
          <w:i/>
          <w:iCs/>
        </w:rPr>
        <w:t xml:space="preserve">(inline)</w:t>
      </w:r>
      <w:r>
        <w:t xml:space="preserve"> </w:t>
      </w:r>
      <w:r>
        <w:t xml:space="preserve">и выведенным</w:t>
      </w:r>
      <w:r>
        <w:t xml:space="preserve"> </w:t>
      </w:r>
      <w:r>
        <w:rPr>
          <w:i/>
          <w:iCs/>
        </w:rPr>
        <w:t xml:space="preserve">(display)</w:t>
      </w:r>
      <w:r>
        <w:t xml:space="preserve"> </w:t>
      </w:r>
      <w:r>
        <w:t xml:space="preserve">математическими режимами.</w:t>
      </w:r>
      <w:r>
        <w:br/>
      </w:r>
      <w:r>
        <w:t xml:space="preserve">Наблюдается различие в расположении формул — встроенные располагаются в тексте, а выведенные центрируются на отдельной строке.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Попробуйте добавить другие греческие буквы</w:t>
      </w:r>
      <w:r>
        <w:t xml:space="preserve">, как строчные, так и прописные.</w:t>
      </w:r>
      <w:r>
        <w:br/>
      </w:r>
      <w:r>
        <w:t xml:space="preserve">Названия символов можно угадать по их написанию — например,</w:t>
      </w:r>
      <w:r>
        <w:t xml:space="preserve"> </w:t>
      </w:r>
      <w:r>
        <w:rPr>
          <w:rStyle w:val="VerbatimChar"/>
        </w:rPr>
        <w:t xml:space="preserve">\alpha</w:t>
      </w:r>
      <w:r>
        <w:t xml:space="preserve">,</w:t>
      </w:r>
      <w:r>
        <w:t xml:space="preserve"> </w:t>
      </w:r>
      <w:r>
        <w:rPr>
          <w:rStyle w:val="VerbatimChar"/>
        </w:rPr>
        <w:t xml:space="preserve">\beta</w:t>
      </w:r>
      <w:r>
        <w:t xml:space="preserve">,</w:t>
      </w:r>
      <w:r>
        <w:t xml:space="preserve"> </w:t>
      </w:r>
      <w:r>
        <w:rPr>
          <w:rStyle w:val="VerbatimChar"/>
        </w:rPr>
        <w:t xml:space="preserve">\Gamma</w:t>
      </w:r>
      <w:r>
        <w:t xml:space="preserve">,</w:t>
      </w:r>
      <w:r>
        <w:t xml:space="preserve"> </w:t>
      </w:r>
      <w:r>
        <w:rPr>
          <w:rStyle w:val="VerbatimChar"/>
        </w:rPr>
        <w:t xml:space="preserve">\Omega</w:t>
      </w:r>
      <w:r>
        <w:t xml:space="preserve"> </w:t>
      </w:r>
      <w:r>
        <w:t xml:space="preserve">и т. д.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Поэкспериментируйте с командами изменения шрифта:</w:t>
      </w:r>
      <w:r>
        <w:t xml:space="preserve"> </w:t>
      </w:r>
      <w:r>
        <w:t xml:space="preserve">что произойдет, если попытаться вложить их друг в друга?</w:t>
      </w:r>
      <w:r>
        <w:br/>
      </w:r>
      <w:r>
        <w:t xml:space="preserve">Результат показывает, что вложение разных команд (</w:t>
      </w:r>
      <w:r>
        <w:rPr>
          <w:rStyle w:val="VerbatimChar"/>
        </w:rPr>
        <w:t xml:space="preserve">\mathbf</w:t>
      </w:r>
      <w:r>
        <w:t xml:space="preserve">,</w:t>
      </w:r>
      <w:r>
        <w:t xml:space="preserve"> </w:t>
      </w:r>
      <w:r>
        <w:rPr>
          <w:rStyle w:val="VerbatimChar"/>
        </w:rPr>
        <w:t xml:space="preserve">\mathit</w:t>
      </w:r>
      <w:r>
        <w:t xml:space="preserve">,</w:t>
      </w:r>
      <w:r>
        <w:t xml:space="preserve"> </w:t>
      </w:r>
      <w:r>
        <w:rPr>
          <w:rStyle w:val="VerbatimChar"/>
        </w:rPr>
        <w:t xml:space="preserve">\mathrm</w:t>
      </w:r>
      <w:r>
        <w:t xml:space="preserve"> </w:t>
      </w:r>
      <w:r>
        <w:t xml:space="preserve">и т. д.) может менять начертание только допустимых символов, а часть стилей не совмещается между собой.</w:t>
      </w:r>
    </w:p>
    <w:p>
      <w:r>
        <w:pict>
          <v:rect style="width:0;height:1.5pt" o:hralign="center" o:hrstd="t" o:hr="t"/>
        </w:pict>
      </w:r>
    </w:p>
    <w:bookmarkEnd w:id="57"/>
    <w:bookmarkStart w:id="58" w:name="итоговый-вывод"/>
    <w:p>
      <w:pPr>
        <w:pStyle w:val="Heading3"/>
      </w:pPr>
      <w:r>
        <w:rPr>
          <w:b/>
          <w:bCs/>
        </w:rPr>
        <w:t xml:space="preserve">Итоговый вывод</w:t>
      </w:r>
    </w:p>
    <w:p>
      <w:pPr>
        <w:pStyle w:val="FirstParagraph"/>
      </w:pPr>
      <w:r>
        <w:t xml:space="preserve">Лабораторная работа выполнена успешно.</w:t>
      </w:r>
      <w:r>
        <w:t xml:space="preserve"> </w:t>
      </w:r>
      <w:r>
        <w:t xml:space="preserve">Были изучены основные принципы математического набора в LaTeX, включая использование различных пакетов, режимов, шрифтов и символов, а также применение Unicode-математики. Полученные знания могут применяться при подготовке научных публикаций, отчётов и учебных материалов, требующих точного и аккуратного математического оформления.</w:t>
      </w:r>
    </w:p>
    <w:bookmarkEnd w:id="58"/>
    <w:bookmarkStart w:id="61" w:name="список-литературы"/>
    <w:p>
      <w:pPr>
        <w:pStyle w:val="Heading3"/>
      </w:pPr>
      <w:r>
        <w:t xml:space="preserve">Список литературы</w:t>
      </w:r>
    </w:p>
    <w:p>
      <w:pPr>
        <w:pStyle w:val="FirstParagraph"/>
      </w:pPr>
      <w:r>
        <w:t xml:space="preserve">[</w:t>
      </w:r>
      <w:hyperlink w:anchor="ref-book">
        <w:r>
          <w:rPr>
            <w:rStyle w:val="Hyperlink"/>
          </w:rPr>
          <w:t xml:space="preserve">1</w:t>
        </w:r>
      </w:hyperlink>
      <w:r>
        <w:t xml:space="preserve">]</w:t>
      </w:r>
    </w:p>
    <w:bookmarkStart w:id="60" w:name="refs"/>
    <w:bookmarkStart w:id="5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Львовский С.М. Набор и вёрстка в системе LaTeX. Москва: МЦНМО, 2014. С. 400.</w:t>
      </w:r>
    </w:p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jpg" /><Relationship Type="http://schemas.openxmlformats.org/officeDocument/2006/relationships/image" Id="rId51" Target="media/rId51.jpg" /><Relationship Type="http://schemas.openxmlformats.org/officeDocument/2006/relationships/image" Id="rId47" Target="media/rId47.jpg" /><Relationship Type="http://schemas.openxmlformats.org/officeDocument/2006/relationships/image" Id="rId15" Target="media/rId15.jpg" /><Relationship Type="http://schemas.openxmlformats.org/officeDocument/2006/relationships/image" Id="rId19" Target="media/rId19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Нирдоши Всеволод Раджендер</dc:creator>
  <dc:language>ru-RU</dc:language>
  <cp:keywords/>
  <dcterms:created xsi:type="dcterms:W3CDTF">2025-10-11T09:51:10Z</dcterms:created>
  <dcterms:modified xsi:type="dcterms:W3CDTF">2025-10-11T09:51:10Z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cite.bib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igureTitle">
    <vt:lpwstr>Рис.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ink-citations">
    <vt:lpwstr>True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IBM Plex Serif</vt:lpwstr>
  </property>
  <property fmtid="{D5CDD505-2E9C-101B-9397-08002B2CF9AE}" pid="20" name="mathfont">
    <vt:lpwstr>STIX Two Math</vt:lpwstr>
  </property>
  <property fmtid="{D5CDD505-2E9C-101B-9397-08002B2CF9AE}" pid="21" name="mathfontoptions">
    <vt:lpwstr/>
  </property>
  <property fmtid="{D5CDD505-2E9C-101B-9397-08002B2CF9AE}" pid="22" name="monofont">
    <vt:lpwstr>IBM Plex Mono</vt:lpwstr>
  </property>
  <property fmtid="{D5CDD505-2E9C-101B-9397-08002B2CF9AE}" pid="23" name="monofontoptions">
    <vt:lpwstr>Scale=MatchLowercase,Scale=0.94,FakeStretch=0.9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IBM Plex Serif</vt:lpwstr>
  </property>
  <property fmtid="{D5CDD505-2E9C-101B-9397-08002B2CF9AE}" pid="28" name="romanfontoptions">
    <vt:lpwstr>Ligatures=Common,Ligatures=TeX,Scale=0.94</vt:lpwstr>
  </property>
  <property fmtid="{D5CDD505-2E9C-101B-9397-08002B2CF9AE}" pid="29" name="sansfont">
    <vt:lpwstr>IBM Plex Sans</vt:lpwstr>
  </property>
  <property fmtid="{D5CDD505-2E9C-101B-9397-08002B2CF9AE}" pid="30" name="sansfontoptions">
    <vt:lpwstr>Ligatures=Common,Ligatures=TeX,Scale=MatchLowercase,Scale=0.94</vt:lpwstr>
  </property>
  <property fmtid="{D5CDD505-2E9C-101B-9397-08002B2CF9AE}" pid="31" name="subtitle">
    <vt:lpwstr>Дисциплина: Computer Skills for Scientific Writing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