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Discovery Research — App Guide</w:t>
      </w:r>
    </w:p>
    <w:p>
      <w:r>
        <w:rPr>
          <w:b w:val="0"/>
          <w:i/>
        </w:rPr>
        <w:t>A desktop app for market &amp; competitive intelligence: a quantitative track that builds a verified company table (Excel), and a qualitative track that turns it into interview-ready one-pagers and a final report (.docx). Every research artifact passes a machine gate before it counts.</w:t>
      </w:r>
    </w:p>
    <w:p>
      <w:r>
        <w:rPr>
          <w:b w:val="0"/>
          <w:i w:val="0"/>
        </w:rPr>
        <w:t>Version: 2026-07-09 · Repo: github.com/Vseyadniy/Discovery-Intelligence · macOS &amp; Windows</w:t>
      </w:r>
    </w:p>
    <w:p>
      <w:pPr>
        <w:pStyle w:val="Heading1"/>
      </w:pPr>
      <w:r>
        <w:t>Quick start</w:t>
      </w:r>
    </w:p>
    <w:p>
      <w:pPr>
        <w:pStyle w:val="ListBullet"/>
      </w:pPr>
      <w:r>
        <w:rPr>
          <w:b w:val="0"/>
          <w:i w:val="0"/>
        </w:rPr>
        <w:t>Install: unzip the installer → double-click install.command (macOS) or install.bat (Windows). Launch via «Discovery Research» app/shortcut.</w:t>
      </w:r>
    </w:p>
    <w:p>
      <w:pPr>
        <w:pStyle w:val="ListBullet"/>
      </w:pPr>
      <w:r>
        <w:rPr>
          <w:b w:val="0"/>
          <w:i w:val="0"/>
        </w:rPr>
        <w:t>Two ways to run every step: Prompt mode (copy a prompt into ChatGPT — no API key needed) or API mode ⚡ (fully automatic; enter keys in Settings).</w:t>
      </w:r>
    </w:p>
    <w:p>
      <w:pPr>
        <w:pStyle w:val="ListBullet"/>
      </w:pPr>
      <w:r>
        <w:rPr>
          <w:b w:val="0"/>
          <w:i w:val="0"/>
        </w:rPr>
        <w:t>API providers: ChatGPT (OpenAI), Claude (Anthropic), Grok (xAI) — all with live web search; DeepSeek — no web search, usable for the qualitative track and verification only.</w:t>
      </w:r>
    </w:p>
    <w:p>
      <w:pPr>
        <w:pStyle w:val="Heading1"/>
      </w:pPr>
      <w:r>
        <w:t>Tab 1 · Quantitative research</w:t>
      </w:r>
    </w:p>
    <w:p>
      <w:r>
        <w:rPr>
          <w:b w:val="0"/>
          <w:i w:val="0"/>
        </w:rPr>
        <w:t>Goal: one row per company — 34 columns: identity (legal entity, ИНН), description profile, business model, customers, positioning, 17 financial columns (2022–2025 product/total revenue &amp; EBITDA by year, YoY, 2026 projection, revenue source) with Excel year drill-down, products, significant news, split sources.</w:t>
      </w:r>
    </w:p>
    <w:p>
      <w:pPr>
        <w:pStyle w:val="Heading2"/>
      </w:pPr>
      <w:r>
        <w:t>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 does it</w:t>
            </w:r>
          </w:p>
        </w:tc>
      </w:tr>
      <w:tr>
        <w:tc>
          <w:tcPr>
            <w:tcW w:type="dxa" w:w="2880"/>
          </w:tcPr>
          <w:p>
            <w:r>
              <w:t>1 · Configure</w:t>
            </w:r>
          </w:p>
        </w:tc>
        <w:tc>
          <w:tcPr>
            <w:tcW w:type="dxa" w:w="2880"/>
          </w:tcPr>
          <w:p>
            <w:r>
              <w:t>Market, depth (superficial / medium ~80% / detailed), companies-per-step, mode</w:t>
            </w:r>
          </w:p>
        </w:tc>
        <w:tc>
          <w:tcPr>
            <w:tcW w:type="dxa" w:w="2880"/>
          </w:tcPr>
          <w:p>
            <w:r>
              <w:t>you</w:t>
            </w:r>
          </w:p>
        </w:tc>
      </w:tr>
      <w:tr>
        <w:tc>
          <w:tcPr>
            <w:tcW w:type="dxa" w:w="2880"/>
          </w:tcPr>
          <w:p>
            <w:r>
              <w:t>2 · Discovery</w:t>
            </w:r>
          </w:p>
        </w:tc>
        <w:tc>
          <w:tcPr>
            <w:tcW w:type="dxa" w:w="2880"/>
          </w:tcPr>
          <w:p>
            <w:r>
              <w:t>Maps the market: cohort + short segment taxonomy → companies.json</w:t>
            </w:r>
          </w:p>
        </w:tc>
        <w:tc>
          <w:tcPr>
            <w:tcW w:type="dxa" w:w="2880"/>
          </w:tcPr>
          <w:p>
            <w:r>
              <w:t>model (web search)</w:t>
            </w:r>
          </w:p>
        </w:tc>
      </w:tr>
      <w:tr>
        <w:tc>
          <w:tcPr>
            <w:tcW w:type="dxa" w:w="2880"/>
          </w:tcPr>
          <w:p>
            <w:r>
              <w:t>3 · Research</w:t>
            </w:r>
          </w:p>
        </w:tc>
        <w:tc>
          <w:tcPr>
            <w:tcW w:type="dxa" w:w="2880"/>
          </w:tcPr>
          <w:p>
            <w:r>
              <w:t>Per company, 3 passes: Collector A (registry/financials), Collector B (news/market, independent — parallel API calls), Verifier (merge, conflicts, confidence)</w:t>
            </w:r>
          </w:p>
        </w:tc>
        <w:tc>
          <w:tcPr>
            <w:tcW w:type="dxa" w:w="2880"/>
          </w:tcPr>
          <w:p>
            <w:r>
              <w:t>model (web search)</w:t>
            </w:r>
          </w:p>
        </w:tc>
      </w:tr>
      <w:tr>
        <w:tc>
          <w:tcPr>
            <w:tcW w:type="dxa" w:w="2880"/>
          </w:tcPr>
          <w:p>
            <w:r>
              <w:t>4 · Ingest gate</w:t>
            </w:r>
          </w:p>
        </w:tc>
        <w:tc>
          <w:tcPr>
            <w:tcW w:type="dxa" w:w="2880"/>
          </w:tcPr>
          <w:p>
            <w:r>
              <w:t>Machine validation of every record; rejected records are excluded</w:t>
            </w:r>
          </w:p>
        </w:tc>
        <w:tc>
          <w:tcPr>
            <w:tcW w:type="dxa" w:w="2880"/>
          </w:tcPr>
          <w:p>
            <w:r>
              <w:t>app</w:t>
            </w:r>
          </w:p>
        </w:tc>
      </w:tr>
      <w:tr>
        <w:tc>
          <w:tcPr>
            <w:tcW w:type="dxa" w:w="2880"/>
          </w:tcPr>
          <w:p>
            <w:r>
              <w:t>5 · Repair loop</w:t>
            </w:r>
          </w:p>
        </w:tc>
        <w:tc>
          <w:tcPr>
            <w:tcW w:type="dxa" w:w="2880"/>
          </w:tcPr>
          <w:p>
            <w:r>
              <w:t>Auto-generated fix prompts / API repairs for rejected fields only</w:t>
            </w:r>
          </w:p>
        </w:tc>
        <w:tc>
          <w:tcPr>
            <w:tcW w:type="dxa" w:w="2880"/>
          </w:tcPr>
          <w:p>
            <w:r>
              <w:t>model</w:t>
            </w:r>
          </w:p>
        </w:tc>
      </w:tr>
      <w:tr>
        <w:tc>
          <w:tcPr>
            <w:tcW w:type="dxa" w:w="2880"/>
          </w:tcPr>
          <w:p>
            <w:r>
              <w:t>6 · Build Excel</w:t>
            </w:r>
          </w:p>
        </w:tc>
        <w:tc>
          <w:tcPr>
            <w:tcW w:type="dxa" w:w="2880"/>
          </w:tcPr>
          <w:p>
            <w:r>
              <w:t>Gate-accepted records → &lt;date&gt;_&lt;market&gt;_research.xlsx + Airtable CSV + analysis.md</w:t>
            </w:r>
          </w:p>
        </w:tc>
        <w:tc>
          <w:tcPr>
            <w:tcW w:type="dxa" w:w="2880"/>
          </w:tcPr>
          <w:p>
            <w:r>
              <w:t>app</w:t>
            </w:r>
          </w:p>
        </w:tc>
      </w:tr>
      <w:tr>
        <w:tc>
          <w:tcPr>
            <w:tcW w:type="dxa" w:w="2880"/>
          </w:tcPr>
          <w:p>
            <w:r>
              <w:t>7 · Publish</w:t>
            </w:r>
          </w:p>
        </w:tc>
        <w:tc>
          <w:tcPr>
            <w:tcW w:type="dxa" w:w="2880"/>
          </w:tcPr>
          <w:p>
            <w:r>
              <w:t>Copies the final deliverable to docs/&lt;market&gt;/</w:t>
            </w:r>
          </w:p>
        </w:tc>
        <w:tc>
          <w:tcPr>
            <w:tcW w:type="dxa" w:w="2880"/>
          </w:tcPr>
          <w:p>
            <w:r>
              <w:t>app</w:t>
            </w:r>
          </w:p>
        </w:tc>
      </w:tr>
    </w:tbl>
    <w:p>
      <w:pPr>
        <w:pStyle w:val="Heading2"/>
      </w:pPr>
      <w:r>
        <w:t>The ingest gate (what gets a record rejected)</w:t>
      </w:r>
    </w:p>
    <w:p>
      <w:pPr>
        <w:pStyle w:val="ListBullet"/>
      </w:pPr>
      <w:r>
        <w:rPr>
          <w:b w:val="0"/>
          <w:i w:val="0"/>
        </w:rPr>
        <w:t>Fabrication: ИНН failing the official checksum, search-page/repo-path sources, values without sources, placeholder strings, Collector B copying A or citing no new source, batch-written files.</w:t>
      </w:r>
    </w:p>
    <w:p>
      <w:pPr>
        <w:pStyle w:val="ListBullet"/>
      </w:pPr>
      <w:r>
        <w:rPr>
          <w:b w:val="0"/>
          <w:i w:val="0"/>
        </w:rPr>
        <w:t>Coverage: empty description/segment/products/business model/customers/positioning; missing 2022–2024 revenue history without a review_flag; record dropping values its collectors found (merge-loss, auto-salvaged).</w:t>
      </w:r>
    </w:p>
    <w:p>
      <w:pPr>
        <w:pStyle w:val="ListBullet"/>
      </w:pPr>
      <w:r>
        <w:rPr>
          <w:b w:val="0"/>
          <w:i w:val="0"/>
        </w:rPr>
        <w:t>Consistency: segment outside the run’s taxonomy; entity_type outside product/brand/company/group/foreign_entity; insignificant news (registry entries, webinars, overviews); money not in «N млн ₽».</w:t>
      </w:r>
    </w:p>
    <w:p>
      <w:pPr>
        <w:pStyle w:val="Heading2"/>
      </w:pPr>
      <w:r>
        <w:t>API mode extras</w:t>
      </w:r>
    </w:p>
    <w:p>
      <w:pPr>
        <w:pStyle w:val="ListBullet"/>
      </w:pPr>
      <w:r>
        <w:rPr>
          <w:b w:val="0"/>
          <w:i w:val="0"/>
        </w:rPr>
        <w:t>Model picker next to «Start next step ⚡» — switch provider between steps.</w:t>
      </w:r>
    </w:p>
    <w:p>
      <w:pPr>
        <w:pStyle w:val="ListBullet"/>
      </w:pPr>
      <w:r>
        <w:rPr>
          <w:b w:val="0"/>
          <w:i w:val="0"/>
        </w:rPr>
        <w:t>Live agent status: 🟦/🟩 Collector · company (i/N) — 🔎 searching: &lt;query&gt; · 📄 reading: &lt;url&gt; · 🧠 analyzing.</w:t>
      </w:r>
    </w:p>
    <w:p>
      <w:pPr>
        <w:pStyle w:val="ListBullet"/>
      </w:pPr>
      <w:r>
        <w:rPr>
          <w:b w:val="0"/>
          <w:i w:val="0"/>
        </w:rPr>
        <w:t>Progress bar with ETA from the run’s own measured timings.</w:t>
      </w:r>
    </w:p>
    <w:p>
      <w:pPr>
        <w:pStyle w:val="Heading1"/>
      </w:pPr>
      <w:r>
        <w:t>Tab 2 · Qualitative research</w:t>
      </w:r>
    </w:p>
    <w:p>
      <w:r>
        <w:rPr>
          <w:b w:val="0"/>
          <w:i w:val="0"/>
        </w:rPr>
        <w:t>Goal: for gate-accepted companies (current or any past run), an interview-ready one-pager each, merged into a final .docx report with an executive summary.</w:t>
      </w:r>
    </w:p>
    <w:p>
      <w:pPr>
        <w:pStyle w:val="Heading2"/>
      </w:pPr>
      <w:r>
        <w:t>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4320"/>
          </w:tcPr>
          <w:p>
            <w:r>
              <w:t>1 · Load</w:t>
            </w:r>
          </w:p>
        </w:tc>
        <w:tc>
          <w:tcPr>
            <w:tcW w:type="dxa" w:w="4320"/>
          </w:tcPr>
          <w:p>
            <w:r>
              <w:t>«Load past run…» or «Load companies» → gate-accepted companies with a proposed angle each</w:t>
            </w:r>
          </w:p>
        </w:tc>
      </w:tr>
      <w:tr>
        <w:tc>
          <w:tcPr>
            <w:tcW w:type="dxa" w:w="4320"/>
          </w:tcPr>
          <w:p>
            <w:r>
              <w:t>2 · Setup</w:t>
            </w:r>
          </w:p>
        </w:tc>
        <w:tc>
          <w:tcPr>
            <w:tcW w:type="dxa" w:w="4320"/>
          </w:tcPr>
          <w:p>
            <w:r>
              <w:t>Enter the research goal (what decision it serves), confirm angle per company (competitor / customer / partner / benchmark / market_signal / acquisition_target), «Start / update qual track»</w:t>
            </w:r>
          </w:p>
        </w:tc>
      </w:tr>
      <w:tr>
        <w:tc>
          <w:tcPr>
            <w:tcW w:type="dxa" w:w="4320"/>
          </w:tcPr>
          <w:p>
            <w:r>
              <w:t>3 · Design</w:t>
            </w:r>
          </w:p>
        </w:tc>
        <w:tc>
          <w:tcPr>
            <w:tcW w:type="dxa" w:w="4320"/>
          </w:tcPr>
          <w:p>
            <w:r>
              <w:t>Prompt or ⚡ per 1–4 companies: the model designs the one-pager from the record only — no browsing, no new facts</w:t>
            </w:r>
          </w:p>
        </w:tc>
      </w:tr>
      <w:tr>
        <w:tc>
          <w:tcPr>
            <w:tcW w:type="dxa" w:w="4320"/>
          </w:tcPr>
          <w:p>
            <w:r>
              <w:t>4 · Qual gate</w:t>
            </w:r>
          </w:p>
        </w:tc>
        <w:tc>
          <w:tcPr>
            <w:tcW w:type="dxa" w:w="4320"/>
          </w:tcPr>
          <w:p>
            <w:r>
              <w:t>Validates structure &amp; provenance; rejected one-pagers get repair prompts/⚡ repairs</w:t>
            </w:r>
          </w:p>
        </w:tc>
      </w:tr>
      <w:tr>
        <w:tc>
          <w:tcPr>
            <w:tcW w:type="dxa" w:w="4320"/>
          </w:tcPr>
          <w:p>
            <w:r>
              <w:t>5 · Report</w:t>
            </w:r>
          </w:p>
        </w:tc>
        <w:tc>
          <w:tcPr>
            <w:tcW w:type="dxa" w:w="4320"/>
          </w:tcPr>
          <w:p>
            <w:r>
              <w:t>When all accepted: auto-built .docx (exec summary, company table, priorities, risks, then one section per company) — «Open report»</w:t>
            </w:r>
          </w:p>
        </w:tc>
      </w:tr>
    </w:tbl>
    <w:p>
      <w:pPr>
        <w:pStyle w:val="Heading2"/>
      </w:pPr>
      <w:r>
        <w:t>One-pager structure (core blocks; custom blocks addable in Settings)</w:t>
      </w:r>
    </w:p>
    <w:p>
      <w:pPr>
        <w:pStyle w:val="ListBullet"/>
      </w:pPr>
      <w:r>
        <w:rPr>
          <w:b w:val="0"/>
          <w:i w:val="0"/>
        </w:rPr>
        <w:t>Research context — summary &amp; relevance vs the goal; KNOWN/UNCLEAR computed from the record; hypotheses, each with a validated_if condition.</w:t>
      </w:r>
    </w:p>
    <w:p>
      <w:pPr>
        <w:pStyle w:val="ListBullet"/>
      </w:pPr>
      <w:r>
        <w:rPr>
          <w:b w:val="0"/>
          <w:i w:val="0"/>
        </w:rPr>
        <w:t>Interview brief — respondent types (who/why/priority), what to learn, sensitive topics with approach.</w:t>
      </w:r>
    </w:p>
    <w:p>
      <w:pPr>
        <w:pStyle w:val="ListBullet"/>
      </w:pPr>
      <w:r>
        <w:rPr>
          <w:b w:val="0"/>
          <w:i w:val="0"/>
        </w:rPr>
        <w:t>Survey — 5–8 questions (multiple-choice + ranking + open), each validating a hypothesis or a standard goal.</w:t>
      </w:r>
    </w:p>
    <w:p>
      <w:pPr>
        <w:pStyle w:val="ListBullet"/>
      </w:pPr>
      <w:r>
        <w:rPr>
          <w:b w:val="0"/>
          <w:i w:val="0"/>
        </w:rPr>
        <w:t>Interview guide — 10–15 questions across ≥6 themes (market perception, problems, buying, competitors, positioning, product value, strengths, weaknesses, trends).</w:t>
      </w:r>
    </w:p>
    <w:p>
      <w:pPr>
        <w:pStyle w:val="ListBullet"/>
      </w:pPr>
      <w:r>
        <w:rPr>
          <w:b w:val="0"/>
          <w:i w:val="0"/>
        </w:rPr>
        <w:t>Priorities — top-3 to validate, top-3 risks, next step (interview / desk research / expert call / customer validation / partner outreach / skip).</w:t>
      </w:r>
    </w:p>
    <w:p>
      <w:r>
        <w:rPr>
          <w:b w:val="0"/>
          <w:i w:val="0"/>
        </w:rPr>
        <w:t>Provenance is enforced: [Ф] fact from the record (with confidence &amp; source), [В] inference, [Г] hypothesis to test. A ‘fact’ containing numbers absent from the record is auto-rejected.</w:t>
      </w:r>
    </w:p>
    <w:p>
      <w:pPr>
        <w:pStyle w:val="Heading1"/>
      </w:pPr>
      <w:r>
        <w:t>Settings</w:t>
      </w:r>
    </w:p>
    <w:p>
      <w:pPr>
        <w:pStyle w:val="ListBullet"/>
      </w:pPr>
      <w:r>
        <w:rPr>
          <w:b w:val="0"/>
          <w:i w:val="0"/>
        </w:rPr>
        <w:t>API keys — OpenAI, Anthropic, Grok, DeepSeek + model names; «Save API keys» applies instantly; keys live only in .env (never in git or installers).</w:t>
      </w:r>
    </w:p>
    <w:p>
      <w:pPr>
        <w:pStyle w:val="ListBullet"/>
      </w:pPr>
      <w:r>
        <w:rPr>
          <w:b w:val="0"/>
          <w:i w:val="0"/>
        </w:rPr>
        <w:t>Excel layout (quantitative) — view all columns; add custom columns; edit descriptions (core names fixed); delete custom; «Default» resets to shipped schema.</w:t>
      </w:r>
    </w:p>
    <w:p>
      <w:pPr>
        <w:pStyle w:val="ListBullet"/>
      </w:pPr>
      <w:r>
        <w:rPr>
          <w:b w:val="0"/>
          <w:i w:val="0"/>
        </w:rPr>
        <w:t>Report layout (qualitative) — core blocks read-only; add/edit/delete custom blocks; «Default» resets. Custom blocks are requested in every future qual prompt and rendered in the report.</w:t>
      </w:r>
    </w:p>
    <w:p>
      <w:pPr>
        <w:pStyle w:val="Heading1"/>
      </w:pPr>
      <w:r>
        <w:t>Files &amp; versioning</w:t>
      </w:r>
    </w:p>
    <w:p>
      <w:pPr>
        <w:pStyle w:val="ListBullet"/>
      </w:pPr>
      <w:r>
        <w:rPr>
          <w:b w:val="0"/>
          <w:i w:val="0"/>
        </w:rPr>
        <w:t>logs/&lt;run&gt;/ — prompts history, companies.json, agent_runs/ (A/B/record per company), gate_report.md, deliverables; qual/ — one-pagers, qual report.</w:t>
      </w:r>
    </w:p>
    <w:p>
      <w:pPr>
        <w:pStyle w:val="ListBullet"/>
      </w:pPr>
      <w:r>
        <w:rPr>
          <w:b w:val="0"/>
          <w:i w:val="0"/>
        </w:rPr>
        <w:t>docs/&lt;market&gt;/ — published final deliverables.  config/ — schema, custom columns, custom blocks, sources.</w:t>
      </w:r>
    </w:p>
    <w:p>
      <w:pPr>
        <w:pStyle w:val="ListBullet"/>
      </w:pPr>
      <w:r>
        <w:rPr>
          <w:b w:val="0"/>
          <w:i w:val="0"/>
        </w:rPr>
        <w:t>Every change iteration is committed to GitHub (Vseyadniy/Discovery-Intelligence) — any state can be restored.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