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Post-Quantum Cryptography Benchmarking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Heterogeneous x86 Server ↔ ARM Clients (1:N) Architecture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ML-KEM-768 | ML-DSA-65 | ChaCha20-Poly1305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Test Environment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 – Hardware and software configuration of all test platforms.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20"/>
        <w:gridCol w:w="3220"/>
      </w:tblGrid>
      <w:tr>
        <w:trPr>
          <w:tblHeader/>
        </w:trP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CPU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AMD Ryzen ...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Raspberry Pi 3B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x86-64 AVX2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ARM Cortex-A53 NEON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SIMD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AVX2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NEON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RAM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 GB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GB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OS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Ubuntu 24.04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Raspberry Pi OS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GCC 13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GCC 13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Optimization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-O3 -march=native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-O3 -mfpu=neon</w:t>
            </w:r>
          </w:p>
        </w:tc>
      </w:tr>
      <w:tr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liboqs Version</w:t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Cryptographic Primitive Benchmarks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ML-KEM-768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2.1 – ML-KEM-768 operation timings (1000 iterations).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(µs)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Key Generation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Encapsulation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Decapsulation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ML-DSA-65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2.2 – ML-DSA-65 operation timings (1000 iterations).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(µs)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Key Generation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Signing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ChaCha20-Poly1305 (AEAD)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2.3 – ChaCha20-Poly1305 encryption/decryption performance across payload sizes.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2712"/>
        <w:gridCol w:w="2712"/>
        <w:gridCol w:w="2983"/>
      </w:tblGrid>
      <w:tr>
        <w:trPr>
          <w:tblHeader/>
        </w:trP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Encrypt (µs)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Decrypt (µs)</w:t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(MB/s)</w:t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64B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128B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256B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512B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1KB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4KB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16KB</w:t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12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83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Architecture Comparison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3 – Cross-platform (x86 vs Raspberry Pi variants) performance comparison.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00"/>
        <w:gridCol w:w="1300"/>
        <w:gridCol w:w="1300"/>
        <w:gridCol w:w="1300"/>
        <w:gridCol w:w="1100"/>
      </w:tblGrid>
      <w:tr>
        <w:trPr>
          <w:tblHeader/>
        </w:trP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x86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Pi3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Pi4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Pi5</w:t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KeyGen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Encap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Decap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Sign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Encrypt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</w:t>
            </w:r>
          </w:p>
        </w:tc>
        <w:tc>
          <w:tcPr>
            <w:tcW w:type="dxa" w:w="1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Decrypt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SIMD vs Scalar Performance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Per-Algorithm SIMD Impact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4.1 – Scalar vs SIMD execution time and improvement percentage.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 / Operation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Scalar (µs)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SIMD (µs)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Improvement (%)</w:t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KeyGen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Encap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Decap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 Sign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 Verify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 Encrypt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Per-Platform SIMD Impact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4.2 – SIMD speedup across x86 (AVX2) and ARM (NEON) platforms.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Scalar (µs)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SIMD (µs)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Pi3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Pi4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Pi5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Communication / Handshake Benchmark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Complete Handshake Phase Timing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5.1 – Time breakdown for each phase of the PQC handshake.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80"/>
      </w:tblGrid>
      <w:tr>
        <w:trPr>
          <w:tblHeader/>
        </w:trP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(µs)</w:t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Client KeyGen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Send Public Key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Server Verify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Encap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Cipher Transmission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Decapsulation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 Sign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Session Established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Handshake Component Breakdown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5.2 – Percentage of total handshake time attributed to each component.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80"/>
      </w:tblGrid>
      <w:tr>
        <w:trPr>
          <w:tblHeader/>
        </w:trP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Percentage of Total Time (%)</w:t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Network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ChaCha20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Others</w:t>
            </w:r>
          </w:p>
        </w:tc>
        <w:tc>
          <w:tcPr>
            <w:tcW w:type="dxa" w:w="38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Payload Size Benchmark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6 – End-to-end latency across varying encrypted payload sizes.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1800"/>
        <w:gridCol w:w="1740"/>
      </w:tblGrid>
      <w:tr>
        <w:trPr>
          <w:tblHeader/>
        </w:trP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Encrypt (µs)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Send (µs)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Receive (µs)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Decrypt (µs)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(µs)</w:t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64B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128B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256B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512B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8KB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16KB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32KB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Scalability Benchmark (1:N Clients)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Average Handshake Latency vs Client Count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7.1 – Handshake latency statistics as concurrent client count increases.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rPr>
          <w:tblHeader/>
        </w:trP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Handshake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 Dev (ms)</w:t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Throughput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7.2 – Successful connections and handshakes per second.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rPr>
          <w:tblHeader/>
        </w:trP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Successful Connections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Handshakes/sec</w:t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Latency Percentiles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7.3 – Latency distribution at multiple client loads.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rPr>
          <w:tblHeader/>
        </w:trP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Median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95th pct (ms)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99th pct (ms)</w:t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88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7.4 Success Rate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7.4 – Connection success and failure counts per load level.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rPr>
          <w:tblHeader/>
        </w:trP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 (%)</w:t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1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Queue Benchmark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8 – Queue wait time vs cryptographic processing time.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2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Queue Wait (µs)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Crypto Time (µs)</w:t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(µs)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Worker Thread Benchmark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9 – Server performance under varying worker thread counts.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2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Latency (ms)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CPU Utilization (%)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Burst vs Continuous Load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10 – Performance comparison across different load arrival patterns.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440"/>
        <w:gridCol w:w="2000"/>
      </w:tblGrid>
      <w:tr>
        <w:trPr>
          <w:tblHeader/>
        </w:trPr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Load Pattern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Latency (ms)</w:t>
            </w:r>
          </w:p>
        </w:tc>
        <w:tc>
          <w:tcPr>
            <w:tcW w:type="dxa" w:w="2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95th Percentile (ms)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</w:tr>
      <w:tr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Burst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Constant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2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CPU Utilization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11 – Server and client CPU usage at varying concurrent client counts.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000"/>
        <w:gridCol w:w="2960"/>
      </w:tblGrid>
      <w:tr>
        <w:trPr>
          <w:tblHeader/>
        </w:trP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Server CPU (%)</w:t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CPU (%)</w:t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Memory Usage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12 – Server and client RAM consumption under load.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000"/>
        <w:gridCol w:w="2960"/>
      </w:tblGrid>
      <w:tr>
        <w:trPr>
          <w:tblHeader/>
        </w:trP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Server RAM (MB)</w:t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RAM (MB)</w:t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Energy Consumption (Raspberry Pi)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13 – Estimated energy per cryptographic operation across Pi generations.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40"/>
      </w:tblGrid>
      <w:tr>
        <w:trPr>
          <w:tblHeader/>
        </w:trP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Pi3 (mJ)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Pi4 (mJ)</w:t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Pi5 (mJ)</w:t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KeyGen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Encap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Decap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Sign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Handshake</w:t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14. End-to-End Benchmark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14 – Aggregate end-to-end performance from 1 to 1000 clients.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4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Time (ms)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Latency (ms)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15. Comparison with Existing Work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15 – Comparison against published PQC communication benchmarks.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1800"/>
        <w:gridCol w:w="1740"/>
      </w:tblGrid>
      <w:tr>
        <w:trPr>
          <w:tblHeader/>
        </w:trP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Handshake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Paper A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Paper B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Paper C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Your Work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16. Statistical Summary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16 – Full statistical summary for primary handshake latency metric.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40"/>
      </w:tblGrid>
      <w:tr>
        <w:trPr>
          <w:tblHeader/>
        </w:trP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Mean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Median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Mode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Minimum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Maximum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Variance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Standard Deviation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95th Percentile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99th Percentile</w:t>
            </w:r>
          </w:p>
        </w:tc>
        <w:tc>
          <w:tcPr>
            <w:tcW w:type="dxa" w:w="4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17. Network Overhead Analysis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17 – Byte sizes of each cryptographic artifact transmitted per handshake.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40"/>
      </w:tblGrid>
      <w:tr>
        <w:trPr>
          <w:tblHeader/>
        </w:trP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Bytes</w:t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 Public Key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Ciphertext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 Public Key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Nonce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AEAD Tag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Handshake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18. Bandwidth Usage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18 – Total bytes transmitted per client load scenario.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4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Bytes Sent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Bytes Received</w:t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19. Security Cost Analysis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19 – Overhead introduced by each security component relative to baseline.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40"/>
      </w:tblGrid>
      <w:tr>
        <w:trPr>
          <w:tblHeader/>
        </w:trP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Security Component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Added (µs)</w:t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ChaCha20-Poly1305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Encryption</w:t>
            </w:r>
          </w:p>
        </w:tc>
        <w:tc>
          <w:tcPr>
            <w:tcW w:type="dxa" w:w="39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20. Failure Analysis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20 – Failure categorization at high client loads.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2100"/>
        <w:gridCol w:w="2340"/>
      </w:tblGrid>
      <w:tr>
        <w:trPr>
          <w:tblHeader/>
        </w:trPr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 Fail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Network Loss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Failures</w:t>
            </w:r>
          </w:p>
        </w:tc>
      </w:tr>
      <w:tr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21. Platform Comparison (Raspberry Pi Variants)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21 – Full Raspberry Pi family performance comparison.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440"/>
      </w:tblGrid>
      <w:tr>
        <w:trPr>
          <w:tblHeader/>
        </w:trP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Handshake (ms)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CPU (%)</w:t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RAM (MB)</w:t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Zero 2 W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3B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3B+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4B (2GB)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4B (4GB)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Pi 5</w:t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22. Parameter Sweep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22 – Performance impact of sweeping worker thread count.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4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 Value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Latency (ms)</w:t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23. Load Pattern Comparison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23 – Fixed vs adaptive vs dynamic load strategy comparison.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420"/>
      </w:tblGrid>
      <w:tr>
        <w:trPr>
          <w:tblHeader/>
        </w:trP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 (ms)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Adaptive (ms)</w:t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Dynamic (ms)</w:t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2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24. Algorithm Cost Distribution</w:t>
      </w:r>
    </w:p>
    <w:p>
      <w:pPr>
        <w:spacing w:after="160" w:before="8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Table 24 – Computation vs communication cost breakdown per algorithm.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000"/>
        <w:gridCol w:w="2960"/>
      </w:tblGrid>
      <w:tr>
        <w:trPr>
          <w:tblHeader/>
        </w:trP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Computation (%)</w:t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Communication (%)</w:t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ML-KEM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ML-DSA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ChaCha20-Poly1305</w:t>
            </w:r>
          </w:p>
        </w:tc>
        <w:tc>
          <w:tcPr>
            <w:tcW w:type="dxa" w:w="3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25. Comprehensive Master Comparison Table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Table 25 – Consolidated summary of all key metrics across platforms and client counts.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1300"/>
        <w:gridCol w:w="1400"/>
        <w:gridCol w:w="900"/>
        <w:gridCol w:w="1000"/>
        <w:gridCol w:w="1400"/>
        <w:gridCol w:w="1100"/>
      </w:tblGrid>
      <w:tr>
        <w:trPr>
          <w:tblHeader/>
        </w:trP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Handshake (ms)</w:t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Throughput (HS/s)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CPU (%)</w:t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RAM (MB)</w:t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Network (KB)</w:t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 (%)</w:t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x86–Pi3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x86–Pi3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x86–Pi3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x86–Pi3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x86–Pi4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x86–Pi4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x86–Pi4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x86–Pi5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x86–Pi5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x86–Pi5</w:t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EAACC" w:sz="4"/>
              <w:left w:val="single" w:color="8EAACC" w:sz="4"/>
              <w:bottom w:val="single" w:color="8EAACC" w:sz="4"/>
              <w:right w:val="single" w:color="8EAA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— End of Benchmark Tables —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CC" w:sz="6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CC" w:sz="6" w:space="4"/>
      </w:pBdr>
      <w:tabs>
        <w:tab w:val="right" w:pos="9000"/>
      </w:tabs>
    </w:pPr>
    <w:r>
      <w:rPr>
        <w:rFonts w:ascii="Calibri" w:cs="Calibri" w:eastAsia="Calibri" w:hAnsi="Calibri"/>
        <w:color w:val="555555"/>
        <w:sz w:val="18"/>
        <w:szCs w:val="18"/>
      </w:rPr>
      <w:t xml:space="preserve">PQC Benchmarking: x86 Server ↔ ARM Clients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ML-KEM-768 | ML-DSA-65 | ChaCha20-Poly1305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2026-06-26T12:59:26.964Z</dcterms:created>
  <dcterms:modified xsi:type="dcterms:W3CDTF">2026-06-26T12:59:26.964Z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