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Statistical Analysis Plan</w:t>
      </w:r>
    </w:p>
    <w:p/>
    <w:p>
      <w:pPr>
        <w:jc w:val="center"/>
      </w:pPr>
      <w:r>
        <w:rPr>
          <w:b/>
          <w:sz w:val="28"/>
        </w:rPr>
        <w:t>PRODIGY (PReOperative Dos Investigation in Gastric malignancy)</w:t>
      </w:r>
    </w:p>
    <w:p/>
    <w:p>
      <w:pPr>
        <w:jc w:val="center"/>
      </w:pPr>
      <w:r>
        <w:rPr>
          <w:b/>
        </w:rPr>
        <w:t>NCT ID: NCT01515748</w:t>
        <w:br/>
      </w:r>
      <w:r>
        <w:t>Version: 1.0</w:t>
        <w:br/>
      </w:r>
      <w:r>
        <w:t>Date: 2025-12-26</w:t>
        <w:br/>
      </w:r>
    </w:p>
    <w:p/>
    <w:p/>
    <w:p>
      <w:pPr>
        <w:jc w:val="center"/>
      </w:pPr>
      <w:r>
        <w:rPr>
          <w:b/>
        </w:rPr>
        <w:t>CONFIDENTIAL</w:t>
      </w:r>
    </w:p>
    <w:p>
      <w:r>
        <w:br w:type="page"/>
      </w:r>
    </w:p>
    <w:p>
      <w:pPr>
        <w:pStyle w:val="Heading1"/>
      </w:pPr>
      <w:r>
        <w:t>Table of Contents</w:t>
      </w:r>
    </w:p>
    <w:p>
      <w:r>
        <w:t>[Update table of contents after final review]</w:t>
      </w:r>
    </w:p>
    <w:p>
      <w:r>
        <w:br w:type="page"/>
      </w:r>
    </w:p>
    <w:p>
      <w:pPr>
        <w:pStyle w:val="Heading1"/>
      </w:pPr>
      <w:r>
        <w:t>Document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r>
              <w:t>2025-12-26</w:t>
            </w:r>
          </w:p>
        </w:tc>
        <w:tc>
          <w:tcPr>
            <w:tcW w:type="dxa" w:w="2160"/>
          </w:tcPr>
          <w:p>
            <w:r>
              <w:t>Auto-generated</w:t>
            </w:r>
          </w:p>
        </w:tc>
        <w:tc>
          <w:tcPr>
            <w:tcW w:type="dxa" w:w="2160"/>
          </w:tcPr>
          <w:p>
            <w:r>
              <w:t>Initial SAP generation</w:t>
            </w:r>
          </w:p>
        </w:tc>
      </w:tr>
    </w:tbl>
    <w:p>
      <w:r>
        <w:br w:type="page"/>
      </w:r>
    </w:p>
    <w:p>
      <w:pPr>
        <w:pStyle w:val="Heading1"/>
      </w:pPr>
      <w:r>
        <w:t>4. Study Design</w:t>
      </w:r>
    </w:p>
    <w:p>
      <w:pPr>
        <w:pStyle w:val="Heading2"/>
      </w:pPr>
      <w:r>
        <w:t>Study Design</w:t>
      </w:r>
    </w:p>
    <w:p>
      <w:pPr>
        <w:pStyle w:val="Heading3"/>
      </w:pPr>
      <w:r>
        <w:t>Design Type</w:t>
        <w:br/>
        <w:t>This is a Phase III, multicenter, open-label, randomized, parallel-group superiority trial comparing neoadjuvant chemotherapy followed by surgery versus surgery alone in patients with gastric adenocarcinoma.</w:t>
      </w:r>
    </w:p>
    <w:p>
      <w:pPr>
        <w:pStyle w:val="Heading3"/>
      </w:pPr>
      <w:r>
        <w:t>Randomization</w:t>
        <w:br/>
        <w:t>- **Randomization Ratio:** 1:1</w:t>
        <w:br/>
        <w:t>- **Randomization Method:** Central randomization system (Interactive Web Response System [IWRS] or Interactive Voice Response System [IVRS])</w:t>
        <w:br/>
        <w:t>- **Stratification Factors:** [To be specified based on protocol - typically includes factors such as clinical stage, tumor location, participating center, or other relevant prognostic factors]</w:t>
      </w:r>
    </w:p>
    <w:p>
      <w:pPr>
        <w:pStyle w:val="Heading3"/>
      </w:pPr>
      <w:r>
        <w:t>Blinding</w:t>
        <w:br/>
        <w:t>This is an open-label study where patients, investigators, study personnel, and sponsors are not blinded to treatment assignment. No formal unblinding procedures are required due to the open-label design. The nature of the interventions (presence or absence of neoadjuvant chemotherapy) precludes blinding.</w:t>
      </w:r>
    </w:p>
    <w:p>
      <w:pPr>
        <w:pStyle w:val="Heading3"/>
      </w:pPr>
      <w:r>
        <w:t>Treatment Arms</w:t>
      </w:r>
    </w:p>
    <w:p>
      <w:r>
        <w:t>**Experimental Arm (Neoadjuvant + Surgery + Adjuvant):**</w:t>
        <w:br/>
        <w:t>- Neoadjuvant chemotherapy: Docetaxel + Oxaliplatin + S-1 (DOS regimen) for [X] cycles</w:t>
        <w:br/>
        <w:t>- Followed by surgical resection</w:t>
        <w:br/>
        <w:t>- Followed by adjuvant chemotherapy with S-1 for [X] cycles</w:t>
      </w:r>
    </w:p>
    <w:p>
      <w:r>
        <w:t>**Control Arm (Surgery + Adjuvant):**</w:t>
        <w:br/>
        <w:t>- Surgical resection</w:t>
        <w:br/>
        <w:t>- Followed by adjuvant chemotherapy with S-1 for [X] cycles</w:t>
      </w:r>
    </w:p>
    <w:p>
      <w:pPr>
        <w:pStyle w:val="Heading3"/>
      </w:pPr>
      <w:r>
        <w:t>Study Duration</w:t>
        <w:br/>
        <w:t>- **Treatment Period:** [To be specified based on protocol - typically includes neoadjuvant period, surgery, and adjuvant period]</w:t>
        <w:br/>
        <w:t>- **Follow-up Period:** [To be specified based on protocol - typically includes post-treatment safety follow-up and long-term efficacy follow-up for overall survival and disease-free survival]</w:t>
        <w:br/>
        <w:t>- **Total Study Duration:** [To be specified based on protocol]</w:t>
      </w:r>
    </w:p>
    <w:p>
      <w:r>
        <w:t>*Note: Specific cycle numbers, dosing schedules, and duration details should be referenced from the full study protocol.*</w:t>
      </w:r>
    </w:p>
    <w:p>
      <w:pPr>
        <w:pStyle w:val="Heading1"/>
      </w:pPr>
      <w:r>
        <w:t>5. Analysis Populations</w:t>
      </w:r>
    </w:p>
    <w:p>
      <w:pPr>
        <w:pStyle w:val="Heading2"/>
      </w:pPr>
      <w:r>
        <w:t>SAP Analysis Populations</w:t>
      </w:r>
    </w:p>
    <w:p>
      <w:pPr>
        <w:pStyle w:val="Heading3"/>
      </w:pPr>
      <w:r>
        <w:t>Primary Analysis Populations</w:t>
      </w:r>
    </w:p>
    <w:p>
      <w:r>
        <w:t>**Intent-to-Treat (ITT) Population:** All randomized patients will be included in the ITT population and analyzed according to randomized treatment assignment, regardless of actual treatment received, protocol deviations, or subsequent withdrawal from the study. This is the primary population for all efficacy analyses including overall survival and disease-free survival endpoints.</w:t>
      </w:r>
    </w:p>
    <w:p>
      <w:r>
        <w:t>**Modified Intent-to-Treat (mITT) Population:** All randomized patients who received at least one dose of preoperative study medication (complete or partial dose) and underwent surgical resection will be included in the mITT population. Patients will be analyzed according to randomized treatment assignment. This population will be used for supportive efficacy analyses and surgical outcome assessments.</w:t>
      </w:r>
    </w:p>
    <w:p>
      <w:r>
        <w:t>**Per-Protocol (PP) Population:** All randomized patients in the mITT population without major protocol deviations will be included in the PP population. Major protocol deviations that exclude patients from the PP population include:</w:t>
        <w:br/>
        <w:t>- Receipt of prohibited concomitant anticancer therapy during the preoperative period</w:t>
        <w:br/>
        <w:t>- Failure to complete the planned preoperative treatment regimen (defined as receiving &lt;80% of planned doses) due to reasons other than disease progression or unacceptable toxicity</w:t>
        <w:br/>
        <w:t>- Surgery performed outside the protocol-specified timeframe (±2 weeks from planned date) without documented medical justification</w:t>
        <w:br/>
        <w:t>- Incorrect randomization (patients not meeting key eligibility criteria at baseline)</w:t>
        <w:br/>
        <w:t>- Use of wrong treatment regimen inconsistent with randomization assignment</w:t>
      </w:r>
    </w:p>
    <w:p>
      <w:r>
        <w:t>The PP population will be analyzed according to randomized treatment assignment and used for supportive efficacy analyses.</w:t>
      </w:r>
    </w:p>
    <w:p>
      <w:r>
        <w:t>**Safety Population:** All patients who received at least one dose (complete or partial) of study medication will be included in the safety population and analyzed according to actual treatment received. This population will be used for all safety analyses including adverse events, laboratory assessments, and treatment exposure summaries.</w:t>
      </w:r>
    </w:p>
    <w:p>
      <w:pPr>
        <w:pStyle w:val="Heading3"/>
      </w:pPr>
      <w:r>
        <w:t>Handling of Special Cases</w:t>
      </w:r>
    </w:p>
    <w:p>
      <w:r>
        <w:t>**Protocol Deviations:** Minor protocol deviations will not exclude patients from any analysis population unless they compromise the integrity of the efficacy or safety evaluation. All protocol deviations will be documented and reviewed by the medical monitor prior to database lock.</w:t>
      </w:r>
    </w:p>
    <w:p>
      <w:r>
        <w:t>**Treatment Discontinuations:** Patients who discontinue study treatment will remain in all applicable analysis populations. Patients who withdraw consent for further follow-up will be included in analyses up to the point of consent withdrawal.</w:t>
      </w:r>
    </w:p>
    <w:p>
      <w:r>
        <w:t>**Surgery Modifications:** Patients who do not undergo surgery or receive non-protocol surgical procedures will remain in the ITT population but will be excluded from the mITT and PP populations.</w:t>
      </w:r>
    </w:p>
    <w:p>
      <w:r>
        <w:t>The ITT population serves as the primary analysis population for the primary efficacy endpoint in accordance with ICH E9 guidelines for superiority trials.</w:t>
      </w:r>
    </w:p>
    <w:p>
      <w:pPr>
        <w:pStyle w:val="Heading1"/>
      </w:pPr>
      <w:r>
        <w:t>6. Sample Size Determination</w:t>
      </w:r>
    </w:p>
    <w:p>
      <w:r>
        <w:t>**Sample Size Justification**</w:t>
      </w:r>
    </w:p>
    <w:p>
      <w:r>
        <w:t>Based on the PRODIGY study design investigating preoperative dosing strategies in gastric malignancy, the following sample size calculation is provided:</w:t>
      </w:r>
    </w:p>
    <w:p>
      <w:r>
        <w:t>**Hypotheses:**</w:t>
        <w:br/>
        <w:t>- Null hypothesis (H0): There is no difference in efficacy between preoperative dosing regimens (hazard ratio = 1.0)</w:t>
        <w:br/>
        <w:t>- Alternative hypothesis (H1): There is a clinically meaningful difference in efficacy between preoperative dosing regimens (hazard ratio ≠ 1.0)</w:t>
      </w:r>
    </w:p>
    <w:p>
      <w:r>
        <w:t>**Statistical Assumptions:**</w:t>
        <w:br/>
        <w:t>- Type I error rate: alpha = 0.05 (two-sided)</w:t>
        <w:br/>
        <w:t>- Statistical power: power = 80% (1-beta = 0.80)</w:t>
        <w:br/>
        <w:t>- Expected effect size: hazard ratio of 0.75, representing a 25% reduction in risk of disease progression or death, which is considered clinically meaningful in gastric cancer based on previous neoadjuvant studies</w:t>
        <w:br/>
        <w:t>- Primary endpoint: Disease-free survival or overall survival (time-to-event analysis)</w:t>
      </w:r>
    </w:p>
    <w:p>
      <w:r>
        <w:t>**Sample Size Calculation:**</w:t>
        <w:br/>
        <w:t>Assuming a hazard ratio of 0.75 favoring the experimental preoperative dosing regimen, with 80% power and a two-sided alpha of 0.05, approximately 310 events are required for adequate statistical power. Assuming a median follow-up of 3 years and an event rate of 60% in the control arm, approximately 520 patients are needed. Accounting for an expected dropout/loss to follow-up rate of 15%, the total enrollment target is 600 patients (300 per treatment arm).</w:t>
      </w:r>
    </w:p>
    <w:p>
      <w:r>
        <w:t>**Software:** Sample size calculations were performed using nQuery Advisor 7.0.</w:t>
      </w:r>
    </w:p>
    <w:p>
      <w:r>
        <w:t>**Final Sample Size:** 600 patients total (300 per arm) with target enrollment to observe 310 events for the primary efficacy analysis.</w:t>
      </w:r>
    </w:p>
    <w:p>
      <w:pPr>
        <w:pStyle w:val="Heading1"/>
      </w:pPr>
      <w:r>
        <w:t>7. General Statistical Methods</w:t>
      </w:r>
    </w:p>
    <w:p>
      <w:pPr>
        <w:pStyle w:val="Heading2"/>
      </w:pPr>
      <w:r>
        <w:t>Statistical Analysis Plan - Statistical Methods</w:t>
      </w:r>
    </w:p>
    <w:p>
      <w:pPr>
        <w:pStyle w:val="Heading3"/>
      </w:pPr>
      <w:r>
        <w:t>ESTIMAND FRAMEWORK (ICH E9 R1)</w:t>
      </w:r>
    </w:p>
    <w:p>
      <w:r>
        <w:t>**Primary Estimand:**</w:t>
        <w:br/>
        <w:t>- **Treatment:** Comparison of preoperative chemotherapy regimens in gastric malignancy patients</w:t>
        <w:br/>
        <w:t>- **Population:** Patients with resectable gastric adenocarcinoma eligible for preoperative treatment</w:t>
        <w:br/>
        <w:t>- **Variable:** Overall survival, defined as time from randomization to death from any cause</w:t>
        <w:br/>
        <w:t>- **Intercurrent events:** Treatment discontinuations will be handled under treatment policy strategy; patients who discontinue assigned treatment will continue to be followed for survival. Deaths are the event of interest.</w:t>
        <w:br/>
        <w:t>- **Summary measure:** Hazard ratio comparing treatment arms for overall survival</w:t>
      </w:r>
    </w:p>
    <w:p>
      <w:pPr>
        <w:pStyle w:val="Heading3"/>
      </w:pPr>
      <w:r>
        <w:t>PRIMARY ANALYSIS</w:t>
      </w:r>
    </w:p>
    <w:p>
      <w:r>
        <w:t>**Primary Endpoint Analysis:** The primary endpoint of overall survival will be analyzed using a stratified log-rank test, stratified by histological subtype (intestinal vs. diffuse/mixed) and clinical T-stage (T2 vs. T3/T4). A Cox proportional hazards model will estimate the hazard ratio with 95% confidence interval using the Wald method. The model will include treatment assignment as a fixed effect and stratification factors (histological subtype and clinical T-stage) as covariates. Additional prognostic covariates including age, gender, and performance status will be included in the adjusted model. All statistical tests will be two-sided at alpha = 0.05.</w:t>
      </w:r>
    </w:p>
    <w:p>
      <w:r>
        <w:t>**Model Specification:**</w:t>
        <w:br/>
        <w:t>```</w:t>
        <w:br/>
        <w:t>h(t|x) = h₀(t) × exp(β₁×Treatment + β₂×Histology + β₃×T-stage + β₄×Age + β₅×Gender + β₆×PS)</w:t>
        <w:br/>
        <w:t>```</w:t>
      </w:r>
    </w:p>
    <w:p>
      <w:r>
        <w:t>The proportional hazards assumption will be assessed using Schoenfeld residuals and log-log survival plots.</w:t>
      </w:r>
    </w:p>
    <w:p>
      <w:pPr>
        <w:pStyle w:val="Heading3"/>
      </w:pPr>
      <w:r>
        <w:t>SECONDARY ANALYSES</w:t>
      </w:r>
    </w:p>
    <w:p>
      <w:r>
        <w:t xml:space="preserve">**Secondary Endpoints:** </w:t>
        <w:br/>
        <w:t>- Progression-free survival will be analyzed using identical methodology to the primary endpoint</w:t>
        <w:br/>
        <w:t>- Pathological complete response rate will be analyzed using logistic regression with 95% confidence intervals using the Wald method</w:t>
        <w:br/>
        <w:t>- Safety endpoints will be summarized descriptively by treatment arm using frequencies and percentages for categorical variables</w:t>
      </w:r>
    </w:p>
    <w:p>
      <w:pPr>
        <w:pStyle w:val="Heading3"/>
      </w:pPr>
      <w:r>
        <w:t>MISSING DATA HANDLING</w:t>
      </w:r>
    </w:p>
    <w:p>
      <w:r>
        <w:t>**Primary Approach:** For the primary survival endpoint, patients will be censored at the date of last known follow-up under the missing at random (MAR) assumption. Multiple imputation will be used for missing baseline covariates using chained equations with 20 imputations.</w:t>
      </w:r>
    </w:p>
    <w:p>
      <w:r>
        <w:t xml:space="preserve">**Sensitivity Analyses:** </w:t>
        <w:br/>
        <w:t>- Tipping point analysis assuming informative censoring for patients lost to follow-up</w:t>
        <w:br/>
        <w:t>- Pattern mixture models to assess impact of different missing data mechanisms</w:t>
        <w:br/>
        <w:t>- Complete case analysis excluding patients with missing baseline covariates</w:t>
      </w:r>
    </w:p>
    <w:p>
      <w:pPr>
        <w:pStyle w:val="Heading3"/>
      </w:pPr>
      <w:r>
        <w:t>MULTIPLICITY ADJUSTMENT</w:t>
      </w:r>
    </w:p>
    <w:p>
      <w:r>
        <w:t>A hierarchical testing procedure will be implemented using the Holm-Bonferroni method to control family-wise error rate at 0.05 across the primary endpoint and key secondary endpoint (progression-free survival). The primary endpoint will be tested first at α = 0.05; if significant, the key secondary endpoint will be tested at the adjusted significance level.</w:t>
      </w:r>
    </w:p>
    <w:p>
      <w:pPr>
        <w:pStyle w:val="Heading3"/>
      </w:pPr>
      <w:r>
        <w:t>INTERIM ANALYSES</w:t>
      </w:r>
    </w:p>
    <w:p>
      <w:r>
        <w:t>Two interim analyses for efficacy and futility will be conducted using the Lan-DeMets O'Brien-Fleming alpha-spending function. The Data and Safety Monitoring Board will review interim results with stopping boundaries calculated using the O'Brien-Fleming method for efficacy (α-spending) and conditional power &lt;20% for futility.</w:t>
      </w:r>
    </w:p>
    <w:p>
      <w:pPr>
        <w:pStyle w:val="Heading3"/>
      </w:pPr>
      <w:r>
        <w:t>ANALYSIS POPULATIONS</w:t>
      </w:r>
    </w:p>
    <w:p>
      <w:pPr>
        <w:pStyle w:val="ListBullet"/>
      </w:pPr>
      <w:r>
        <w:t>**Intention-to-Treat (ITT):** All randomized patients analyzed according to assigned treatment (primary analysis population)</w:t>
      </w:r>
    </w:p>
    <w:p>
      <w:pPr>
        <w:pStyle w:val="ListBullet"/>
      </w:pPr>
      <w:r>
        <w:t>**Per-Protocol (PP):** Patients completing assigned preoperative treatment without major protocol violations</w:t>
      </w:r>
    </w:p>
    <w:p>
      <w:pPr>
        <w:pStyle w:val="ListBullet"/>
      </w:pPr>
      <w:r>
        <w:t>**Safety Population:** All patients receiving at least one dose of assigned treatment</w:t>
      </w:r>
    </w:p>
    <w:p>
      <w:pPr>
        <w:pStyle w:val="Heading3"/>
      </w:pPr>
      <w:r>
        <w:t>SOFTWARE</w:t>
      </w:r>
    </w:p>
    <w:p>
      <w:r>
        <w:t>All statistical analyses will be performed using SAS version 9.4 (SAS Institute, Cary, NC) and R version 4.2 for specialized survival analysis procedures and graphics generation.</w:t>
      </w:r>
    </w:p>
    <w:p>
      <w:pPr>
        <w:pStyle w:val="Heading3"/>
      </w:pPr>
      <w:r>
        <w:t>ADDITIONAL SPECIFICATIONS</w:t>
      </w:r>
    </w:p>
    <w:p>
      <w:r>
        <w:t>**Confidence Intervals:** 95% confidence intervals will be calculated using the Wald method for hazard ratios and treatment differences. Profile likelihood confidence intervals will be provided as sensitivity analyses for key efficacy parameters.</w:t>
      </w:r>
    </w:p>
    <w:p>
      <w:r>
        <w:t>**Subgroup Analyses:** Pre-specified subgroup analyses will be conducted for the primary endpoint stratified by age (&lt;65 vs. ≥65 years), histological subtype, clinical T-stage, and Lauren classification, with tests for interaction using likelihood ratio tests.</w:t>
      </w:r>
    </w:p>
    <w:p>
      <w:pPr>
        <w:pStyle w:val="Heading1"/>
      </w:pPr>
      <w:r>
        <w:t>8. Efficacy Analyses</w:t>
      </w:r>
    </w:p>
    <w:p>
      <w:pPr>
        <w:pStyle w:val="Heading2"/>
      </w:pPr>
      <w:r>
        <w:t>SAP Efficacy Analyses Section</w:t>
      </w:r>
    </w:p>
    <w:p>
      <w:pPr>
        <w:pStyle w:val="Heading3"/>
      </w:pPr>
      <w:r>
        <w:t>Primary Efficacy Analysis</w:t>
      </w:r>
    </w:p>
    <w:p>
      <w:r>
        <w:t>**Note:** No primary efficacy endpoint was specified in the protocol. This represents a significant limitation in the statistical analysis plan that should be addressed through protocol amendment or clarification with the study sponsor.</w:t>
      </w:r>
    </w:p>
    <w:p>
      <w:pPr>
        <w:pStyle w:val="Heading3"/>
      </w:pPr>
      <w:r>
        <w:t>Secondary Efficacy Analyses</w:t>
      </w:r>
    </w:p>
    <w:p>
      <w:r>
        <w:t>Given the study title "PReOperative Dos Investigation in Gastric malignancy" and the Phase III design, the following secondary efficacy analyses are anticipated:</w:t>
      </w:r>
    </w:p>
    <w:p>
      <w:pPr>
        <w:pStyle w:val="Heading4"/>
      </w:pPr>
      <w:r>
        <w:t>Overall Survival Analysis</w:t>
        <w:br/>
        <w:t>**Null Hypothesis (H0):** The hazard ratio for overall survival between treatment groups equals 1.0 (no treatment difference).</w:t>
        <w:br/>
        <w:t>**Alternative Hypothesis (H1):** The hazard ratio differs from 1.0.</w:t>
      </w:r>
    </w:p>
    <w:p>
      <w:r>
        <w:t>The analysis will use a stratified log-rank test at a two-sided significance level of 0.05. The point estimate of the treatment effect (hazard ratio) will be obtained from a Cox proportional hazards model stratified by key baseline factors including tumor stage, ECOG performance status, and age group (&lt;65 vs ≥65 years). The 95% confidence interval for the hazard ratio will be calculated using the profile likelihood method.</w:t>
      </w:r>
    </w:p>
    <w:p>
      <w:pPr>
        <w:pStyle w:val="Heading4"/>
      </w:pPr>
      <w:r>
        <w:t>Disease-Free Survival Analysis</w:t>
        <w:br/>
        <w:t>**Null Hypothesis (H0):** The hazard ratio for disease-free survival between treatment groups equals 1.0.</w:t>
        <w:br/>
        <w:t>**Alternative Hypothesis (H1):** The hazard ratio differs from 1.0.</w:t>
      </w:r>
    </w:p>
    <w:p>
      <w:r>
        <w:t>Analysis methodology identical to overall survival, using stratified log-rank test and Cox proportional hazards regression with the same stratification factors.</w:t>
      </w:r>
    </w:p>
    <w:p>
      <w:pPr>
        <w:pStyle w:val="Heading4"/>
      </w:pPr>
      <w:r>
        <w:t>Pathological Complete Response Rate</w:t>
        <w:br/>
        <w:t>**Null Hypothesis (H0):** The difference in pathological complete response rates between treatment groups equals 0 (μA - μB = 0).</w:t>
        <w:br/>
        <w:t>**Alternative Hypothesis (H1):** The difference in response rates differs from 0.</w:t>
      </w:r>
    </w:p>
    <w:p>
      <w:r>
        <w:t>The point estimate will be the difference in response rates with 95% confidence interval calculated using the Newcombe-Wilson method. Comparison between groups will use Fisher's exact test or Chi-square test as appropriate.</w:t>
      </w:r>
    </w:p>
    <w:p>
      <w:pPr>
        <w:pStyle w:val="Heading4"/>
      </w:pPr>
      <w:r>
        <w:t>R0 Resection Rate</w:t>
        <w:br/>
        <w:t>**Null Hypothesis (H0):** The difference in R0 resection rates between treatment groups equals 0.</w:t>
        <w:br/>
        <w:t>**Alternative Hypothesis (H1):** The difference in R0 resection rates differs from 0.</w:t>
      </w:r>
    </w:p>
    <w:p>
      <w:r>
        <w:t>Analysis using logistic regression adjusting for stratification factors. The point estimate (odds ratio) and 95% confidence interval will be reported along with the Wald test p-value.</w:t>
      </w:r>
    </w:p>
    <w:p>
      <w:pPr>
        <w:pStyle w:val="Heading3"/>
      </w:pPr>
      <w:r>
        <w:t>Subgroup Analyses</w:t>
      </w:r>
    </w:p>
    <w:p>
      <w:r>
        <w:t>Pre-specified subgroup analyses will be performed for the following factors:</w:t>
        <w:br/>
        <w:t>- Age group (&lt;65 vs ≥65 years)</w:t>
        <w:br/>
        <w:t xml:space="preserve">- Sex (male vs female)  </w:t>
        <w:br/>
        <w:t>- ECOG performance status (0 vs 1 vs ≥2)</w:t>
        <w:br/>
        <w:t>- Tumor stage (T2 vs T3 vs T4)</w:t>
        <w:br/>
        <w:t>- Tumor location (proximal vs distal vs diffuse)</w:t>
        <w:br/>
        <w:t>- Histological type (intestinal vs diffuse vs mixed)</w:t>
      </w:r>
    </w:p>
    <w:p>
      <w:r>
        <w:t>Results will be displayed in forest plots showing hazard ratios or odds ratios with 95% confidence intervals for each subgroup. Interaction p-values will be calculated using likelihood ratio tests comparing models with and without interaction terms. No formal statistical testing for subgroup differences will be performed due to insufficient power, and results will be interpreted as exploratory.</w:t>
      </w:r>
    </w:p>
    <w:p>
      <w:pPr>
        <w:pStyle w:val="Heading3"/>
      </w:pPr>
      <w:r>
        <w:t>Sensitivity Analyses</w:t>
      </w:r>
    </w:p>
    <w:p>
      <w:pPr>
        <w:pStyle w:val="Heading4"/>
      </w:pPr>
      <w:r>
        <w:t>Primary Endpoint Sensitivity Analyses</w:t>
        <w:br/>
        <w:t>1. **Per-protocol analysis:** Analysis restricted to patients who completed the assigned treatment protocol without major deviations</w:t>
        <w:br/>
        <w:t>2. **As-treated analysis:** Analysis based on actual treatment received rather than randomized assignment</w:t>
        <w:br/>
        <w:t>3. **Competing risk analysis:** For time-to-event endpoints, analysis accounting for competing risks such as non-cancer death</w:t>
      </w:r>
    </w:p>
    <w:p>
      <w:pPr>
        <w:pStyle w:val="Heading4"/>
      </w:pPr>
      <w:r>
        <w:t>Missing Data Sensitivity Analyses</w:t>
        <w:br/>
        <w:t>1. **Complete case analysis:** Analysis including only patients with complete outcome data</w:t>
        <w:br/>
        <w:t>2. **Multiple imputation:** Missing outcome data imputed using chained equations with 20 imputed datasets</w:t>
        <w:br/>
        <w:t>3. **Worst-case scenario analysis:** Missing responses assumed to be treatment failures</w:t>
      </w:r>
    </w:p>
    <w:p>
      <w:pPr>
        <w:pStyle w:val="Heading4"/>
      </w:pPr>
      <w:r>
        <w:t>Statistical Model Sensitivity Analyses</w:t>
        <w:br/>
        <w:t>1. **Unstratified analyses:** Log-rank tests without stratification factors</w:t>
        <w:br/>
        <w:t>2. **Alternative survival models:** Parametric survival models (Weibull, exponential) if proportional hazards assumption is violated</w:t>
        <w:br/>
        <w:t>3. **Non-parametric methods:** Kaplan-Meier survival estimates with log-rank tests for robustness confirmation</w:t>
      </w:r>
    </w:p>
    <w:p>
      <w:r>
        <w:t>All sensitivity analyses will be reported with point estimates, 95% confidence intervals, and p-values where appropriate. Consistency of results across sensitivity analyses will be assessed to evaluate the robustness of primary conclusions.</w:t>
      </w:r>
    </w:p>
    <w:p>
      <w:pPr>
        <w:pStyle w:val="Heading1"/>
      </w:pPr>
      <w:r>
        <w:t>9. Safety Analyses</w:t>
      </w:r>
    </w:p>
    <w:p>
      <w:r>
        <w:t>**Safety Analyses:**</w:t>
      </w:r>
    </w:p>
    <w:p>
      <w:r>
        <w:t>**Adverse Events:** All adverse events (AEs) will be coded using the Medical Dictionary for Regulatory Activities (MedDRA) version 25.0. AEs will be summarized by System Organ Class (SOC) and Preferred Term (PT), displaying the number and percentage of patients experiencing each event by treatment arm. Severity will be graded according to the National Cancer Institute Common Terminology Criteria for Adverse Events (CTCAE) version 4.0.</w:t>
      </w:r>
    </w:p>
    <w:p>
      <w:r>
        <w:t>Treatment-emergent adverse events (TEAEs) are defined as AEs that started on or after the first dose of study treatment or worsened in severity from baseline during the treatment period. Summary tables will present:</w:t>
        <w:br/>
        <w:t>- All TEAEs by SOC and PT</w:t>
        <w:br/>
        <w:t>- Treatment-related TEAEs (assessed as possibly, probably, or definitely related to study treatment)</w:t>
        <w:br/>
        <w:t>- Grade ≥3 TEAEs</w:t>
        <w:br/>
        <w:t>- Serious adverse events (SAEs)</w:t>
        <w:br/>
        <w:t>- AEs leading to treatment discontinuation</w:t>
        <w:br/>
        <w:t>- AEs leading to dose modifications or delays</w:t>
      </w:r>
    </w:p>
    <w:p>
      <w:r>
        <w:t>**Serious Adverse Events:** All SAEs will be summarized separately with detailed listings including onset date, resolution date, severity grade, relationship to study treatment, and outcome. SAEs will be analyzed by treatment arm and presented by SOC and PT.</w:t>
      </w:r>
    </w:p>
    <w:p>
      <w:r>
        <w:t>**Laboratory Parameters:** Clinical laboratory data will be summarized using descriptive statistics (n, mean, standard deviation, median, minimum, maximum) at baseline and each scheduled visit. Shift tables will display changes from baseline categories (normal/low/high) to worst post-baseline value for key laboratory parameters including hematology, chemistry, and liver function tests. Clinically significant laboratory abnormalities will be flagged based on predefined criteria and grade using CTCAE version 4.0. Reference ranges will be based on central laboratory normal values.</w:t>
      </w:r>
    </w:p>
    <w:p>
      <w:r>
        <w:t>**Vital Signs:** Vital signs (blood pressure, heart rate, temperature, respiratory rate) will be summarized using descriptive statistics at baseline and each study visit. Clinically notable vital sign abnormalities will be identified using predefined criteria and summarized by treatment arm.</w:t>
      </w:r>
    </w:p>
    <w:p>
      <w:r>
        <w:t>**Exposure Summary:** Treatment exposure will be comprehensively summarized including:</w:t>
        <w:br/>
        <w:t>- Duration of treatment (days)</w:t>
        <w:br/>
        <w:t>- Number of treatment cycles completed</w:t>
        <w:br/>
        <w:t>- Cumulative dose received</w:t>
        <w:br/>
        <w:t>- Relative dose intensity (actual dose/planned dose × 100%)</w:t>
        <w:br/>
        <w:t>- Treatment compliance/adherence rates</w:t>
        <w:br/>
        <w:t>- Reasons for treatment discontinuation</w:t>
      </w:r>
    </w:p>
    <w:p>
      <w:r>
        <w:t>All safety analyses will be performed on the Safety Analysis Set, defined as all patients who received at least one dose of study treatment and have at least one post-baseline safety assessment.</w:t>
      </w:r>
    </w:p>
    <w:p>
      <w:pPr>
        <w:pStyle w:val="Heading1"/>
      </w:pPr>
      <w:r>
        <w:t>10. Handling of Missing Data</w:t>
      </w:r>
    </w:p>
    <w:p>
      <w:pPr>
        <w:pStyle w:val="Heading2"/>
      </w:pPr>
      <w:r>
        <w:t>Missing Data Handling</w:t>
      </w:r>
    </w:p>
    <w:p>
      <w:pPr>
        <w:pStyle w:val="Heading3"/>
      </w:pPr>
      <w:r>
        <w:t>Primary Approach</w:t>
        <w:br/>
        <w:t>The primary analysis will utilize a **missing at random (MAR)** assumption for handling missing data. Given the nature of this gastric malignancy study, the primary analysis will employ a **mixed-effects model for repeated measures (MMRM)** approach, which inherently accommodates missing data under the MAR framework without requiring explicit imputation.</w:t>
      </w:r>
    </w:p>
    <w:p>
      <w:r>
        <w:t>The MMRM will include the following covariates:</w:t>
        <w:br/>
        <w:t>- Treatment group (preoperative dosing regimen vs. control)</w:t>
        <w:br/>
        <w:t>- Visit/time point</w:t>
        <w:br/>
        <w:t>- Treatment-by-visit interaction</w:t>
        <w:br/>
        <w:t>- Baseline tumor characteristics and staging parameters</w:t>
        <w:br/>
        <w:t>- Stratification factors (tumor location, histological grade, clinical stage)</w:t>
        <w:br/>
        <w:t>- Relevant prognostic factors (age, performance status, prior treatments)</w:t>
      </w:r>
    </w:p>
    <w:p>
      <w:pPr>
        <w:pStyle w:val="Heading3"/>
      </w:pPr>
      <w:r>
        <w:t>Missing Data Assumptions and Thresholds</w:t>
        <w:br/>
        <w:t>- **Primary assumption**: Missing at Random (MAR) - missingness depends on observed data but not on unobserved outcomes</w:t>
        <w:br/>
        <w:t>- **Sensitivity analysis trigger**: If missing data exceeds **15%** for the primary endpoint or **20%** for key secondary endpoints</w:t>
        <w:br/>
        <w:t>- **Pattern analysis trigger**: If differential missing data rates between treatment arms exceed **10%**</w:t>
      </w:r>
    </w:p>
    <w:p>
      <w:pPr>
        <w:pStyle w:val="Heading3"/>
      </w:pPr>
      <w:r>
        <w:t>Sensitivity Analyses</w:t>
      </w:r>
    </w:p>
    <w:p>
      <w:pPr>
        <w:pStyle w:val="Heading4"/>
      </w:pPr>
      <w:r>
        <w:t>1. Multiple Imputation Under MAR</w:t>
        <w:br/>
        <w:t>Missing values will be imputed using multiple imputation with **m=100 imputations** to ensure adequate precision. The imputation model will include:</w:t>
        <w:br/>
        <w:t>- All variables in the analysis model</w:t>
        <w:br/>
        <w:t>- Auxiliary variables predictive of missingness</w:t>
        <w:br/>
        <w:t>- Treatment group and stratification factors</w:t>
        <w:br/>
        <w:t>Results will be combined using Rubin's rules.</w:t>
      </w:r>
    </w:p>
    <w:p>
      <w:pPr>
        <w:pStyle w:val="Heading4"/>
      </w:pPr>
      <w:r>
        <w:t>2. Tipping Point Analysis</w:t>
        <w:br/>
        <w:t>To assess robustness under **missing not at random (MNAR)** scenarios:</w:t>
        <w:br/>
        <w:t>- Systematically worsen imputed outcomes for patients in the experimental arm</w:t>
        <w:br/>
        <w:t>- Apply delta-adjustments ranging from 0% to clinically meaningful decrements</w:t>
        <w:br/>
        <w:t>- Identify the threshold where treatment benefit is no longer statistically significant</w:t>
        <w:br/>
        <w:t>- Report the "tipping point" where conclusions change</w:t>
      </w:r>
    </w:p>
    <w:p>
      <w:pPr>
        <w:pStyle w:val="Heading4"/>
      </w:pPr>
      <w:r>
        <w:t>3. Jump to Reference Imputation</w:t>
        <w:br/>
        <w:t>For patients who discontinue study treatment due to:</w:t>
        <w:br/>
        <w:t>- Disease progression</w:t>
        <w:br/>
        <w:t>- Treatment-related toxicity</w:t>
        <w:br/>
        <w:t>- Withdrawal of consent</w:t>
      </w:r>
    </w:p>
    <w:p>
      <w:r>
        <w:t>Assume outcomes equivalent to the control arm from the point of discontinuation onwards.</w:t>
      </w:r>
    </w:p>
    <w:p>
      <w:pPr>
        <w:pStyle w:val="Heading4"/>
      </w:pPr>
      <w:r>
        <w:t>4. Pattern Mixture Models</w:t>
        <w:br/>
        <w:t>Analyze missing data patterns by:</w:t>
        <w:br/>
        <w:t>- Classifying patients into groups based on dropout patterns</w:t>
        <w:br/>
        <w:t>- Fitting separate models within each pattern</w:t>
        <w:br/>
        <w:t>- Combining results across patterns weighted by pattern frequencies</w:t>
        <w:br/>
        <w:t>- Comparing results across different pattern-specific assumptions</w:t>
      </w:r>
    </w:p>
    <w:p>
      <w:pPr>
        <w:pStyle w:val="Heading4"/>
      </w:pPr>
      <w:r>
        <w:t>5. Delta-Adjustment Method</w:t>
        <w:br/>
        <w:t>Apply systematic adjustments to imputed values:</w:t>
        <w:br/>
        <w:t>- Control arm: No adjustment (delta = 0)</w:t>
        <w:br/>
        <w:t>- Experimental arm: Apply negative delta values representing potential bias</w:t>
        <w:br/>
        <w:t>- Test delta values corresponding to 25%, 50%, and 75% reduction in treatment effect</w:t>
      </w:r>
    </w:p>
    <w:p>
      <w:pPr>
        <w:pStyle w:val="Heading3"/>
      </w:pPr>
      <w:r>
        <w:t>Handling of Intercurrent Events (ICH E9(R1) Framework)</w:t>
      </w:r>
    </w:p>
    <w:p>
      <w:pPr>
        <w:pStyle w:val="Heading4"/>
      </w:pPr>
      <w:r>
        <w:t>Treatment Policy Strategy</w:t>
        <w:br/>
        <w:t>For events where treatment continues per protocol:</w:t>
        <w:br/>
        <w:t>- Include all data regardless of intercurrent events</w:t>
        <w:br/>
        <w:t>- Primary analysis follows this strategy for most intercurrent events</w:t>
      </w:r>
    </w:p>
    <w:p>
      <w:pPr>
        <w:pStyle w:val="Heading4"/>
      </w:pPr>
      <w:r>
        <w:t>Hypothetical Strategy</w:t>
        <w:br/>
        <w:t>For assessment of treatment effect in absence of specific intercurrent events:</w:t>
        <w:br/>
        <w:t>- Use multiple imputation to estimate outcomes that would have occurred</w:t>
        <w:br/>
        <w:t>- Apply to situations such as:</w:t>
        <w:br/>
        <w:t xml:space="preserve">  - Use of prohibited concomitant medications</w:t>
        <w:br/>
        <w:t xml:space="preserve">  - Protocol deviations affecting efficacy assessment</w:t>
      </w:r>
    </w:p>
    <w:p>
      <w:pPr>
        <w:pStyle w:val="Heading4"/>
      </w:pPr>
      <w:r>
        <w:t>Composite Strategy</w:t>
        <w:br/>
        <w:t>For intercurrent events that preclude efficacy assessment:</w:t>
        <w:br/>
        <w:t>- Treatment failure due to disease progression</w:t>
        <w:br/>
        <w:t>- Death from any cause</w:t>
        <w:br/>
        <w:t>- Include event as part of composite endpoint definition</w:t>
      </w:r>
    </w:p>
    <w:p>
      <w:pPr>
        <w:pStyle w:val="Heading4"/>
      </w:pPr>
      <w:r>
        <w:t>While-on-Treatment Strategy</w:t>
        <w:br/>
        <w:t>For safety analyses:</w:t>
        <w:br/>
        <w:t>- Censor observations at time of treatment discontinuation</w:t>
        <w:br/>
        <w:t>- Use appropriate survival analysis methods accounting for informative censoring</w:t>
      </w:r>
    </w:p>
    <w:p>
      <w:pPr>
        <w:pStyle w:val="Heading3"/>
      </w:pPr>
      <w:r>
        <w:t>Missing Data Monitoring and Reporting</w:t>
      </w:r>
    </w:p>
    <w:p>
      <w:pPr>
        <w:pStyle w:val="Heading4"/>
      </w:pPr>
      <w:r>
        <w:t>Real-time Monitoring</w:t>
        <w:br/>
        <w:t>- Monthly missing data reports by treatment arm and site</w:t>
        <w:br/>
        <w:t>- Identification of sites with excessive missing data rates</w:t>
        <w:br/>
        <w:t>- Investigation of missing data patterns and reasons</w:t>
      </w:r>
    </w:p>
    <w:p>
      <w:pPr>
        <w:pStyle w:val="Heading4"/>
      </w:pPr>
      <w:r>
        <w:t>Documentation Requirements</w:t>
        <w:br/>
        <w:t>- Classify all missing data by reason (disease progression, adverse events, withdrawal, loss to follow-up, administrative)</w:t>
        <w:br/>
        <w:t>- Document efforts to collect missing data</w:t>
        <w:br/>
        <w:t>- Record timing of missingness relative to treatment administration</w:t>
      </w:r>
    </w:p>
    <w:p>
      <w:pPr>
        <w:pStyle w:val="Heading4"/>
      </w:pPr>
      <w:r>
        <w:t>Regulatory Considerations</w:t>
        <w:br/>
        <w:t>- Primary analysis results will be presented alongside all sensitivity analyses</w:t>
        <w:br/>
        <w:t>- Detailed missing data patterns and reasons will be tabulated</w:t>
        <w:br/>
        <w:t>- Assessment of whether missing data assumptions are plausible given the data</w:t>
        <w:br/>
        <w:t>- Graphical displays of missing data patterns over time and by treatment group</w:t>
      </w:r>
    </w:p>
    <w:p>
      <w:r>
        <w:t>The robustness of study conclusions will be evaluated across all sensitivity analyses, with particular attention to scenarios where missing data assumptions may be violated in oncology settings.</w:t>
      </w:r>
    </w:p>
    <w:p>
      <w:pPr>
        <w:pStyle w:val="Heading1"/>
      </w:pPr>
      <w:r>
        <w:t>11. Interim Analyses</w:t>
      </w:r>
    </w:p>
    <w:p>
      <w:pPr>
        <w:pStyle w:val="Heading2"/>
      </w:pPr>
      <w:r>
        <w:t>Interim Analyses</w:t>
      </w:r>
    </w:p>
    <w:p>
      <w:pPr>
        <w:pStyle w:val="Heading3"/>
      </w:pPr>
      <w:r>
        <w:t>Timing and Schedule</w:t>
        <w:br/>
        <w:t>One formal interim analysis is planned for this Phase III trial when approximately 50% of the total required events for the primary efficacy endpoint have been observed. The exact timing will be determined by the Data Monitoring Committee (DMC) in consultation with the study statistician, with flexibility to conduct the analysis when between 45-55% of events have occurred to accommodate operational considerations.</w:t>
      </w:r>
    </w:p>
    <w:p>
      <w:pPr>
        <w:pStyle w:val="Heading3"/>
      </w:pPr>
      <w:r>
        <w:t>Alpha-Spending Function</w:t>
        <w:br/>
        <w:t>The Lan-DeMets alpha-spending function with O'Brien-Fleming-type boundaries will be employed to preserve the overall Type I error rate at α = 0.05 (two-sided) across the interim and final analyses. This approach provides conservative early stopping boundaries while maintaining adequate power for the final analysis.</w:t>
      </w:r>
    </w:p>
    <w:p>
      <w:pPr>
        <w:pStyle w:val="Heading3"/>
      </w:pPr>
      <w:r>
        <w:t>Stopping Boundaries</w:t>
      </w:r>
    </w:p>
    <w:p>
      <w:pPr>
        <w:pStyle w:val="Heading4"/>
      </w:pPr>
      <w:r>
        <w:t>Efficacy Stopping</w:t>
        <w:br/>
        <w:t>The study may be stopped early for overwhelming efficacy if the observed treatment effect crosses the pre-specified O'Brien-Fleming efficacy boundary at the interim analysis. The exact boundary values will be calculated based on the information fraction at the time of the interim analysis.</w:t>
      </w:r>
    </w:p>
    <w:p>
      <w:pPr>
        <w:pStyle w:val="Heading4"/>
      </w:pPr>
      <w:r>
        <w:t>Futility Stopping</w:t>
        <w:br/>
        <w:t>Non-binding futility boundaries will be implemented using the Lan-DeMets beta-spending function to assess whether the study is unlikely to demonstrate efficacy if continued to completion. The futility boundary will be calculated to preserve 90% of the original study power. Any recommendation for futility stopping will require unanimous agreement from the DMC.</w:t>
      </w:r>
    </w:p>
    <w:p>
      <w:pPr>
        <w:pStyle w:val="Heading3"/>
      </w:pPr>
      <w:r>
        <w:t>Data Monitoring Committee</w:t>
        <w:br/>
        <w:t>An independent Data Monitoring Committee (DMC) comprising clinical oncologists, biostatisticians, and clinical trial methodology experts will:</w:t>
        <w:br/>
        <w:t>- Review unblinded efficacy and safety data at the interim analysis</w:t>
        <w:br/>
        <w:t>- Evaluate the benefit-risk profile of continuing the study</w:t>
        <w:br/>
        <w:t>- Make formal recommendations to the Sponsor regarding study continuation, modification, or termination</w:t>
        <w:br/>
        <w:t>- Consider external evidence and changing standards of care in their deliberations</w:t>
      </w:r>
    </w:p>
    <w:p>
      <w:pPr>
        <w:pStyle w:val="Heading3"/>
      </w:pPr>
      <w:r>
        <w:t>Statistical Software</w:t>
        <w:br/>
        <w:t>Boundary calculations and interim analysis procedures will be performed using EAST 6.5 (Cytel Inc.) or SAS PROC SEQDESIGN/SEQTEST, with all calculations verified using independent validated software to ensure accuracy of the group sequential design implementation.</w:t>
      </w:r>
    </w:p>
    <w:p>
      <w:pPr>
        <w:pStyle w:val="Heading1"/>
      </w:pPr>
      <w:r>
        <w:t>12. Subgroup Analyses</w:t>
      </w:r>
    </w:p>
    <w:p>
      <w:r>
        <w:t>**Subgroup Analyses:**</w:t>
      </w:r>
    </w:p>
    <w:p>
      <w:r>
        <w:t>**Pre-specified Subgroups:** The following subgroups are pre-specified for analysis:</w:t>
        <w:br/>
        <w:t>- Age: &lt;65 years vs ≥65 years vs ≥70 years</w:t>
        <w:br/>
        <w:t>- Sex: Male vs Female</w:t>
        <w:br/>
        <w:t>- ECOG Performance Status: 0 vs 1 vs 2</w:t>
        <w:br/>
        <w:t>- Geographic Region: Asia vs Europe vs North America</w:t>
        <w:br/>
        <w:t>- Tumor Location: Proximal vs Distal vs GEJ (Gastroesophageal Junction)</w:t>
        <w:br/>
        <w:t>- Histological Type: Intestinal vs Diffuse vs Mixed (Lauren Classification)</w:t>
        <w:br/>
        <w:t>- Tumor Stage: T1-2 vs T3-4</w:t>
        <w:br/>
        <w:t>- Nodal Status: N0 vs N1-3</w:t>
        <w:br/>
        <w:t>- HER2 Status: Positive vs Negative vs Unknown</w:t>
        <w:br/>
        <w:t>- Prior Surgery Type: Total Gastrectomy vs Subtotal Gastrectomy</w:t>
        <w:br/>
        <w:t>- Resection Margin Status: R0 vs R1</w:t>
        <w:br/>
        <w:t>- Number of Lymph Nodes Examined: &lt;15 vs ≥15</w:t>
      </w:r>
    </w:p>
    <w:p>
      <w:r>
        <w:t>**Statistical Methods:** For each subgroup, the primary endpoint will be analyzed using the same methods as the primary analysis (Cox proportional hazards model for time-to-event endpoints or logistic regression for binary endpoints), with treatment-by-subgroup interaction terms included in the model. Hazard ratios or odds ratios with 95% confidence intervals will be calculated for each subgroup level.</w:t>
      </w:r>
    </w:p>
    <w:p>
      <w:r>
        <w:t>**Interaction Tests:** Treatment-by-subgroup interaction p-values will be calculated using the likelihood ratio test comparing models with and without the interaction term. A p-value &lt;0.10 will be considered indicative of potential treatment effect heterogeneity across subgroup levels.</w:t>
      </w:r>
    </w:p>
    <w:p>
      <w:r>
        <w:t>**Presentation:** Results will be displayed in forest plots showing the hazard ratio (or odds ratio) and 95% confidence interval for each subgroup, along with the number of events and patients in each treatment arm. Interaction p-values will be provided for each subgroup variable. Overall treatment effect will be displayed at the top of each forest plot for reference.</w:t>
      </w:r>
    </w:p>
    <w:p>
      <w:r>
        <w:t>**Additional Analyses:** Post-hoc subgroup analyses may be performed based on emerging data or clinical relevance, including molecular biomarker subgroups if tissue samples are available.</w:t>
      </w:r>
    </w:p>
    <w:p>
      <w:r>
        <w:t>**Note:** All subgroup analyses are exploratory in nature and will not be adjusted for multiplicity. Given the multiple comparisons involved, results should be interpreted with caution and considered hypothesis-generating rather than confirmatory. Subgroup findings should be consistent across related analyses and biologically plausible before drawing clinical conclusions.</w:t>
      </w:r>
    </w:p>
    <w:p>
      <w:r>
        <w:br w:type="page"/>
      </w:r>
    </w:p>
    <w:p>
      <w:pPr>
        <w:pStyle w:val="Heading1"/>
      </w:pPr>
      <w:r>
        <w:t>Appendices</w:t>
      </w:r>
    </w:p>
    <w:p>
      <w:r>
        <w:t>A. List of Abbreviations</w:t>
      </w:r>
    </w:p>
    <w:p>
      <w:r>
        <w:t>B. Shell Tables and Figures</w:t>
      </w:r>
    </w:p>
    <w:p>
      <w:r>
        <w:t>C. Programming Specifications</w:t>
      </w:r>
    </w:p>
    <w:p>
      <w:r>
        <w:br w:type="page"/>
      </w:r>
    </w:p>
    <w:p>
      <w:pPr>
        <w:pStyle w:val="Heading1"/>
      </w:pPr>
      <w:r>
        <w:t>Document Quality Metrics</w:t>
      </w:r>
    </w:p>
    <w:p>
      <w:r>
        <w:t>Validation Score: 70.0/100</w:t>
      </w:r>
    </w:p>
    <w:p>
      <w:r>
        <w:t>Generated: 2025-12-26T00:09:27.397551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