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Plan</w:t>
      </w:r>
    </w:p>
    <w:p/>
    <w:p>
      <w:pPr>
        <w:jc w:val="center"/>
      </w:pPr>
      <w:r>
        <w:rPr>
          <w:b/>
          <w:sz w:val="28"/>
        </w:rPr>
        <w:t>Open-label, Multicenter Phase 1/2 Study of Mogamulizumab in</w:t>
      </w:r>
    </w:p>
    <w:p/>
    <w:p>
      <w:pPr>
        <w:jc w:val="center"/>
      </w:pPr>
      <w:r>
        <w:rPr>
          <w:b/>
        </w:rPr>
        <w:t>NCT ID: NCT02705105</w:t>
        <w:br/>
      </w:r>
      <w:r>
        <w:t>Version: 1.0</w:t>
        <w:br/>
      </w:r>
      <w:r>
        <w:t>Date: 2025-12-26</w:t>
        <w:br/>
      </w:r>
    </w:p>
    <w:p/>
    <w:p/>
    <w:p>
      <w:pPr>
        <w:jc w:val="center"/>
      </w:pPr>
      <w:r>
        <w:rPr>
          <w:b/>
        </w:rPr>
        <w:t>CONFIDENTIAL</w:t>
      </w:r>
    </w:p>
    <w:p>
      <w:r>
        <w:br w:type="page"/>
      </w:r>
    </w:p>
    <w:p>
      <w:pPr>
        <w:pStyle w:val="Heading1"/>
      </w:pPr>
      <w:r>
        <w:t>Table of Contents</w:t>
      </w:r>
    </w:p>
    <w:p>
      <w:r>
        <w:t>[Update table of contents after final review]</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2025-12-26</w:t>
            </w:r>
          </w:p>
        </w:tc>
        <w:tc>
          <w:tcPr>
            <w:tcW w:type="dxa" w:w="2160"/>
          </w:tcPr>
          <w:p>
            <w:r>
              <w:t>Auto-generated</w:t>
            </w:r>
          </w:p>
        </w:tc>
        <w:tc>
          <w:tcPr>
            <w:tcW w:type="dxa" w:w="2160"/>
          </w:tcPr>
          <w:p>
            <w:r>
              <w:t>Initial SAP generation</w:t>
            </w:r>
          </w:p>
        </w:tc>
      </w:tr>
    </w:tbl>
    <w:p>
      <w:r>
        <w:br w:type="page"/>
      </w:r>
    </w:p>
    <w:p>
      <w:pPr>
        <w:pStyle w:val="Heading1"/>
      </w:pPr>
      <w:r>
        <w:t>4. Study Design</w:t>
      </w:r>
    </w:p>
    <w:p>
      <w:pPr>
        <w:pStyle w:val="Heading2"/>
      </w:pPr>
      <w:r>
        <w:t>4. STUDY DESIGN</w:t>
      </w:r>
    </w:p>
    <w:p>
      <w:pPr>
        <w:pStyle w:val="Heading3"/>
      </w:pPr>
      <w:r>
        <w:t>4.1 Overall Study Design</w:t>
      </w:r>
    </w:p>
    <w:p>
      <w:r>
        <w:t>This is an open-label, multicenter, Phase 1/2 study of mogamulizumab (NCT02705105). The study employs a single-arm, non-randomized design to evaluate the safety, tolerability, and efficacy of mogamulizumab in the target patient population.</w:t>
      </w:r>
    </w:p>
    <w:p>
      <w:pPr>
        <w:pStyle w:val="Heading3"/>
      </w:pPr>
      <w:r>
        <w:t>4.2 Randomization</w:t>
      </w:r>
    </w:p>
    <w:p>
      <w:r>
        <w:t>This study does not employ randomization. All eligible subjects will be enrolled into a single treatment arm and receive mogamulizumab according to the protocol-specified dosing regimen.</w:t>
      </w:r>
    </w:p>
    <w:p>
      <w:r>
        <w:t>**Randomization ratio:** Not applicable</w:t>
        <w:br/>
        <w:t xml:space="preserve">**Randomization method:** Not applicable  </w:t>
        <w:br/>
        <w:t>**Stratification factors:** Not applicable</w:t>
      </w:r>
    </w:p>
    <w:p>
      <w:pPr>
        <w:pStyle w:val="Heading3"/>
      </w:pPr>
      <w:r>
        <w:t>4.3 Blinding</w:t>
      </w:r>
    </w:p>
    <w:p>
      <w:r>
        <w:t>This is an open-label study design. No blinding procedures are implemented.</w:t>
      </w:r>
    </w:p>
    <w:p>
      <w:r>
        <w:t>**Blinded parties:** None (open-label design)</w:t>
        <w:br/>
        <w:t>**Unblinding procedures:** Not applicable due to open-label design</w:t>
        <w:br/>
        <w:t>**Emergency unblinding:** Not applicable</w:t>
      </w:r>
    </w:p>
    <w:p>
      <w:pPr>
        <w:pStyle w:val="Heading3"/>
      </w:pPr>
      <w:r>
        <w:t>4.4 Treatment Arms</w:t>
      </w:r>
    </w:p>
    <w:p>
      <w:r>
        <w:t>**Single Treatment Arm:**</w:t>
        <w:br/>
        <w:t>- **Experimental Arm:** Mogamulizumab administered according to protocol-specified dose, schedule, and route of administration</w:t>
        <w:br/>
        <w:t>- **Control Arm:** No control arm (single-arm design)</w:t>
      </w:r>
    </w:p>
    <w:p>
      <w:pPr>
        <w:pStyle w:val="Heading3"/>
      </w:pPr>
      <w:r>
        <w:t>4.5 Study Duration</w:t>
      </w:r>
    </w:p>
    <w:p>
      <w:r>
        <w:t>**Treatment Period:** As specified in the protocol for mogamulizumab administration</w:t>
        <w:br/>
        <w:t>**Follow-up Period:** As defined in the protocol for safety and efficacy assessments post-treatment</w:t>
        <w:br/>
        <w:t>**Total Study Duration:** The sum of treatment and follow-up periods as outlined in the study protocol</w:t>
      </w:r>
    </w:p>
    <w:p>
      <w:r>
        <w:t>*Note: Specific durations for treatment and follow-up periods should be referenced from the complete study protocol.*</w:t>
      </w:r>
    </w:p>
    <w:p>
      <w:pPr>
        <w:pStyle w:val="Heading1"/>
      </w:pPr>
      <w:r>
        <w:t>5. Analysis Populations</w:t>
      </w:r>
    </w:p>
    <w:p>
      <w:r>
        <w:t>**Analysis Populations**</w:t>
      </w:r>
    </w:p>
    <w:p>
      <w:r>
        <w:t>**Intent-to-Treat (ITT) Population:** All enrolled patients will be included in the ITT population and analyzed according to assigned treatment, regardless of actual treatment received or study completion status. This serves as the primary population for all efficacy analyses in this Phase 1/2 study.</w:t>
      </w:r>
    </w:p>
    <w:p>
      <w:r>
        <w:t>**Modified Intent-to-Treat (mITT) Population:** All enrolled patients who received at least one dose of mogamulizumab and had baseline disease assessment will be included in the mITT population. Patients will be analyzed according to assigned treatment. This population will be used for supportive efficacy analyses and sensitivity analyses.</w:t>
      </w:r>
    </w:p>
    <w:p>
      <w:r>
        <w:t>**Per-Protocol (PP) Population:** All patients in the mITT population without major protocol deviations that could affect efficacy evaluation. Major protocol deviations leading to exclusion from the PP population include:</w:t>
        <w:br/>
        <w:t>- Use of prohibited concomitant medications that could affect efficacy outcomes</w:t>
        <w:br/>
        <w:t>- Treatment compliance &lt;80% of planned dose intensity (for Phase 2 portion)</w:t>
        <w:br/>
        <w:t>- Missing critical efficacy assessments that preclude response evaluation</w:t>
        <w:br/>
        <w:t>- Incorrect study drug administration outside protocol-specified parameters</w:t>
        <w:br/>
        <w:t>- Protocol violations related to inclusion/exclusion criteria discovered post-enrollment</w:t>
      </w:r>
    </w:p>
    <w:p>
      <w:r>
        <w:t>**Safety Population:** All patients who received at least one dose (complete or partial) of mogamulizumab will be included in the safety population and analyzed according to actual treatment received. This is the primary population for all safety and tolerability analyses, including adverse events, laboratory parameters, and dose-limiting toxicities.</w:t>
      </w:r>
    </w:p>
    <w:p>
      <w:r>
        <w:t>**Primary Analysis Population:** The ITT population serves as the primary analysis population for efficacy endpoints. The Safety population serves as the primary analysis population for all safety endpoints.</w:t>
      </w:r>
    </w:p>
    <w:p>
      <w:r>
        <w:t>**Handling of Protocol Deviations and Discontinuations:** All enrolled patients will be included in analyses according to the intent-to-treat principle. Patients who discontinue treatment or withdraw from the study will be included in analyses up to the point of discontinuation. Missing data will be handled according to predefined missing data strategies outlined in the statistical analysis plan. Protocol deviations will be classified as major or minor, with major deviations potentially leading to exclusion from the Per-Protocol population only.</w:t>
      </w:r>
    </w:p>
    <w:p>
      <w:pPr>
        <w:pStyle w:val="Heading1"/>
      </w:pPr>
      <w:r>
        <w:t>6. Sample Size Determination</w:t>
      </w:r>
    </w:p>
    <w:p>
      <w:r>
        <w:t>**Sample Size Justification:**</w:t>
      </w:r>
    </w:p>
    <w:p>
      <w:r>
        <w:t>For this Phase 1/2 open-label, multicenter study of mogamulizumab, the sample size is based on the exploratory nature of early-phase development rather than formal statistical hypothesis testing.</w:t>
      </w:r>
    </w:p>
    <w:p>
      <w:r>
        <w:t>**Phase 1 Dose Escalation Component:**</w:t>
        <w:br/>
        <w:t>The Phase 1 portion follows a standard 3+3 dose escalation design to determine the maximum tolerated dose (MTD) and recommended Phase 2 dose (RP2D). Approximately 18-24 patients are expected to be enrolled across 3-4 dose levels, with 3-6 patients per cohort depending on dose-limiting toxicity (DLT) occurrence.</w:t>
      </w:r>
    </w:p>
    <w:p>
      <w:r>
        <w:t>**Phase 2 Expansion Component:**</w:t>
        <w:br/>
        <w:t>The null hypothesis (H0) states that the overall response rate (ORR) is ≤10% (historical control rate). The alternative hypothesis (H1) states that the ORR is ≥30% (clinically meaningful response rate). Using Simon's two-stage optimal design with alpha = 0.05 (one-sided) and power = 80% (1-beta = 0.80), the expected effect size corresponds to an ORR improvement from 10% to 30% (difference of 20 percentage points).</w:t>
      </w:r>
    </w:p>
    <w:p>
      <w:r>
        <w:t>In Stage 1, 10 patients will be enrolled. If ≤1 response is observed, the study will be terminated for futility. If ≥2 responses are observed, an additional 19 patients will be enrolled in Stage 2 (total n=29). The regimen will be considered promising if ≥6 responses are observed among 29 evaluable patients.</w:t>
      </w:r>
    </w:p>
    <w:p>
      <w:r>
        <w:t>Assuming a 10% dropout rate for inevaluable patients, a total of 32 patients will be enrolled in the Phase 2 portion. Combined with the Phase 1 component, the total enrollment target is approximately 56 patients.</w:t>
      </w:r>
    </w:p>
    <w:p>
      <w:r>
        <w:t>Sample size calculations were performed using EAST 6.5 software.</w:t>
      </w:r>
    </w:p>
    <w:p>
      <w:pPr>
        <w:pStyle w:val="Heading1"/>
      </w:pPr>
      <w:r>
        <w:t>7. General Statistical Methods</w:t>
      </w:r>
    </w:p>
    <w:p>
      <w:pPr>
        <w:pStyle w:val="Heading2"/>
      </w:pPr>
      <w:r>
        <w:t>Statistical Analysis Plan - Statistical Methods</w:t>
      </w:r>
    </w:p>
    <w:p>
      <w:pPr>
        <w:pStyle w:val="Heading3"/>
      </w:pPr>
      <w:r>
        <w:t>Study Overview</w:t>
        <w:br/>
        <w:t xml:space="preserve">**Study Title:** Open-label, Multicenter Phase 1/2 Study of Mogamulizumab  </w:t>
        <w:br/>
        <w:t xml:space="preserve">**Phase:** Phase 1/2  </w:t>
        <w:br/>
        <w:t>**NCT ID:** NCT02705105</w:t>
      </w:r>
    </w:p>
    <w:p>
      <w:pPr>
        <w:pStyle w:val="Heading3"/>
      </w:pPr>
      <w:r>
        <w:t>ICH E9(R1) Estimand Framework</w:t>
      </w:r>
    </w:p>
    <w:p>
      <w:pPr>
        <w:pStyle w:val="Heading4"/>
      </w:pPr>
      <w:r>
        <w:t>Primary Estimand (Phase 2 Component)</w:t>
        <w:br/>
        <w:t>- **Treatment:** Mogamulizumab administered intravenously at the recommended Phase 2 dose determined from Phase 1</w:t>
        <w:br/>
        <w:t>- **Population:** Patients with relapsed/refractory cutaneous T-cell lymphoma eligible for treatment</w:t>
        <w:br/>
        <w:t>- **Variable:** Overall response rate (ORR) defined as proportion of patients achieving complete response (CR) or partial response (PR) per investigator assessment using modified Severity Weighted Assessment Tool (mSWAT)</w:t>
        <w:br/>
        <w:t>- **Intercurrent events:** Treatment discontinuation due to disease progression, adverse events, or withdrawal will be handled as treatment failure in the primary analysis</w:t>
        <w:br/>
        <w:t>- **Summary measure:** Difference in response rates between observed rate and historical control rate</w:t>
      </w:r>
    </w:p>
    <w:p>
      <w:pPr>
        <w:pStyle w:val="Heading4"/>
      </w:pPr>
      <w:r>
        <w:t>Secondary Estimand (Safety Run-in Phase 1)</w:t>
        <w:br/>
        <w:t>- **Treatment:** Mogamulizumab dose escalation following 3+3 design</w:t>
        <w:br/>
        <w:t>- **Population:** Patients with advanced hematologic malignancies</w:t>
        <w:br/>
        <w:t>- **Variable:** Dose-limiting toxicity (DLT) rate in first treatment cycle</w:t>
        <w:br/>
        <w:t>- **Intercurrent events:** Early discontinuation for reasons other than DLT will be replaced to ensure adequate safety evaluation</w:t>
        <w:br/>
        <w:t>- **Summary measure:** Proportion of patients experiencing DLT at each dose level</w:t>
      </w:r>
    </w:p>
    <w:p>
      <w:pPr>
        <w:pStyle w:val="Heading3"/>
      </w:pPr>
      <w:r>
        <w:t>Primary Statistical Analysis</w:t>
      </w:r>
    </w:p>
    <w:p>
      <w:pPr>
        <w:pStyle w:val="Heading4"/>
      </w:pPr>
      <w:r>
        <w:t>Phase 1 Dose Escalation Analysis</w:t>
        <w:br/>
        <w:t>The primary endpoint for Phase 1 is safety and determination of recommended Phase 2 dose (RP2D). DLT rates will be analyzed using a traditional 3+3 dose escalation design. At each dose level, the proportion of patients experiencing DLT in Cycle 1 will be calculated with exact 95% confidence intervals using the Clopper-Pearson method. The RP2D will be defined as the highest dose level at which ≤1 of 6 patients experience DLT, provided the next higher dose level has ≥2 of 3-6 patients with DLT. All safety analyses will be descriptive without formal hypothesis testing.</w:t>
      </w:r>
    </w:p>
    <w:p>
      <w:pPr>
        <w:pStyle w:val="Heading4"/>
      </w:pPr>
      <w:r>
        <w:t>Phase 2 Efficacy Analysis</w:t>
        <w:br/>
        <w:t>The primary endpoint for Phase 2 is overall response rate (ORR). The primary analysis will use a one-sample exact binomial test comparing the observed ORR to a pre-specified historical control rate of 15%. The null hypothesis H₀: p ≤ 0.15 will be tested against the alternative hypothesis H₁: p &gt; 0.30 using a one-sided test at alpha = 0.10. The exact 95% confidence interval for ORR will be calculated using the Clopper-Pearson method. If the lower bound of the 95% CI exceeds 15%, the treatment will be considered promising for further development.</w:t>
      </w:r>
    </w:p>
    <w:p>
      <w:r>
        <w:t>A logistic regression model will be fitted as a secondary analysis to explore potential predictive factors:</w:t>
        <w:br/>
        <w:t>```</w:t>
        <w:br/>
        <w:t>logit(P(response)) = β₀ + β₁(baseline ECOG PS) + β₂(prior therapies) + β₃(disease subtype)</w:t>
        <w:br/>
        <w:t>```</w:t>
      </w:r>
    </w:p>
    <w:p>
      <w:pPr>
        <w:pStyle w:val="Heading3"/>
      </w:pPr>
      <w:r>
        <w:t>Secondary Analyses</w:t>
      </w:r>
    </w:p>
    <w:p>
      <w:pPr>
        <w:pStyle w:val="Heading4"/>
      </w:pPr>
      <w:r>
        <w:t>Time-to-Event Endpoints</w:t>
        <w:br/>
        <w:t>Duration of response, progression-free survival, and overall survival will be analyzed using Kaplan-Meier methodology. Median time-to-event with 95% confidence intervals will be estimated using the Brookmeyer-Crowley method. For progression-free survival, a one-sample log-rank test will compare observed survival to historical controls, with hazard ratios estimated using Cox proportional hazards regression.</w:t>
      </w:r>
    </w:p>
    <w:p>
      <w:pPr>
        <w:pStyle w:val="Heading4"/>
      </w:pPr>
      <w:r>
        <w:t>Safety Analyses</w:t>
        <w:br/>
        <w:t>All safety analyses will be descriptive and based on the safety population (all patients receiving ≥1 dose of study drug). Adverse events will be coded using MedDRA version 24.0 and graded per NCI CTCAE version 4.03. Treatment-emergent adverse events (TEAEs) will be summarized by system organ class, preferred term, and maximum grade. Laboratory parameters will be analyzed using shift tables and plots over time.</w:t>
      </w:r>
    </w:p>
    <w:p>
      <w:pPr>
        <w:pStyle w:val="Heading3"/>
      </w:pPr>
      <w:r>
        <w:t>Handling of Missing Data</w:t>
      </w:r>
    </w:p>
    <w:p>
      <w:r>
        <w:t>**Primary Approach:** For the primary efficacy endpoint (ORR), patients without adequate post-baseline tumor assessment will be considered non-responders (conservative approach under missing not at random assumption).</w:t>
      </w:r>
    </w:p>
    <w:p>
      <w:r>
        <w:t xml:space="preserve">**Sensitivity Analyses:** </w:t>
        <w:br/>
        <w:t>1. Complete case analysis excluding patients with missing response data</w:t>
        <w:br/>
        <w:t>2. Multiple imputation under missing at random (MAR) assumption using logistic regression including baseline covariates</w:t>
        <w:br/>
        <w:t>3. Tipping point analysis evaluating robustness to assumptions about missing data mechanism</w:t>
      </w:r>
    </w:p>
    <w:p>
      <w:r>
        <w:t>For time-to-event endpoints, patients will be censored at last known alive date or last tumor assessment date. Sensitivity analyses will include alternative censoring rules and pattern mixture models to assess impact of informative censoring.</w:t>
      </w:r>
    </w:p>
    <w:p>
      <w:pPr>
        <w:pStyle w:val="Heading3"/>
      </w:pPr>
      <w:r>
        <w:t>Multiplicity Considerations</w:t>
      </w:r>
    </w:p>
    <w:p>
      <w:r>
        <w:t>Given the exploratory nature of this Phase 1/2 study, no formal multiplicity adjustments will be applied to secondary endpoints. All secondary analyses will be considered exploratory and interpreted with appropriate caution. The primary Phase 2 endpoint will be tested at the pre-specified one-sided alpha = 0.10 level.</w:t>
      </w:r>
    </w:p>
    <w:p>
      <w:r>
        <w:t>For multiple safety endpoints in Phase 1, the Bayesian continual reassessment method will be considered for future dose escalation decisions, but the primary analysis will follow the traditional 3+3 design without multiplicity adjustment.</w:t>
      </w:r>
    </w:p>
    <w:p>
      <w:pPr>
        <w:pStyle w:val="Heading3"/>
      </w:pPr>
      <w:r>
        <w:t>Interim Analyses</w:t>
      </w:r>
    </w:p>
    <w:p>
      <w:r>
        <w:t>An interim analysis for futility will be conducted after 50% of planned Phase 2 patients complete their first response assessment. Using a beta-binomial Bayesian approach with non-informative prior (Beta(0.5, 0.5)), the study may be stopped for futility if the posterior probability of achieving the target response rate falls below 10%.</w:t>
      </w:r>
    </w:p>
    <w:p>
      <w:pPr>
        <w:pStyle w:val="Heading3"/>
      </w:pPr>
      <w:r>
        <w:t>Statistical Software</w:t>
      </w:r>
    </w:p>
    <w:p>
      <w:r>
        <w:t>All analyses will be performed using **SAS version 9.4** or higher. Kaplan-Meier plots and forest plots will be generated using SAS/GRAPH procedures. R version 4.2 or higher may be used for specialized Bayesian analyses and advanced visualization.</w:t>
      </w:r>
    </w:p>
    <w:p>
      <w:pPr>
        <w:pStyle w:val="Heading3"/>
      </w:pPr>
      <w:r>
        <w:t>Analysis Populations</w:t>
      </w:r>
    </w:p>
    <w:p>
      <w:pPr>
        <w:pStyle w:val="ListBullet"/>
      </w:pPr>
      <w:r>
        <w:t>**Safety Population:** All patients who received ≥1 dose of mogamulizumab</w:t>
      </w:r>
    </w:p>
    <w:p>
      <w:pPr>
        <w:pStyle w:val="ListBullet"/>
      </w:pPr>
      <w:r>
        <w:t>**Efficacy Population (Phase 2):** All patients in Phase 2 who received ≥1 dose and had baseline measurable disease</w:t>
      </w:r>
    </w:p>
    <w:p>
      <w:pPr>
        <w:pStyle w:val="ListBullet"/>
      </w:pPr>
      <w:r>
        <w:t>**Per-Protocol Population:** All efficacy population patients without major protocol deviations affecting efficacy assessment</w:t>
      </w:r>
    </w:p>
    <w:p>
      <w:pPr>
        <w:pStyle w:val="Heading1"/>
      </w:pPr>
      <w:r>
        <w:t>8. Efficacy Analyses</w:t>
      </w:r>
    </w:p>
    <w:p>
      <w:pPr>
        <w:pStyle w:val="Heading2"/>
      </w:pPr>
      <w:r>
        <w:t>SAP Efficacy Analyses Section</w:t>
      </w:r>
    </w:p>
    <w:p>
      <w:pPr>
        <w:pStyle w:val="Heading3"/>
      </w:pPr>
      <w:r>
        <w:t>Primary Efficacy Analysis</w:t>
      </w:r>
    </w:p>
    <w:p>
      <w:r>
        <w:t>**Note:** No primary efficacy endpoint was specified in the protocol for this Phase 1/2 dose-escalation and dose-expansion study of mogamulizumab. The primary objectives focus on safety, tolerability, and determination of the recommended Phase 2 dose (RP2D).</w:t>
      </w:r>
    </w:p>
    <w:p>
      <w:pPr>
        <w:pStyle w:val="Heading3"/>
      </w:pPr>
      <w:r>
        <w:t>Secondary Efficacy Analyses</w:t>
      </w:r>
    </w:p>
    <w:p>
      <w:r>
        <w:t>Given the Phase 1/2 nature of this study, secondary efficacy endpoints will be analyzed as exploratory objectives to provide preliminary evidence of clinical activity:</w:t>
      </w:r>
    </w:p>
    <w:p>
      <w:pPr>
        <w:pStyle w:val="Heading4"/>
      </w:pPr>
      <w:r>
        <w:t>Overall Response Rate (ORR)</w:t>
      </w:r>
    </w:p>
    <w:p>
      <w:r>
        <w:t>**Null Hypothesis (H0):** The true overall response rate equals the historical control rate (π₀ = 0.10).</w:t>
      </w:r>
    </w:p>
    <w:p>
      <w:r>
        <w:t>**Alternative Hypothesis (H1):** The true overall response rate differs from the historical control rate (π ≠ 0.10).</w:t>
      </w:r>
    </w:p>
    <w:p>
      <w:r>
        <w:t>The point estimate of ORR will be calculated as the proportion of patients achieving complete response (CR) or partial response (PR) according to applicable disease-specific response criteria. The 95% confidence interval will be constructed using the Clopper-Pearson exact binomial method. Response rates will be summarized by dose level and indication, with 95% confidence intervals provided.</w:t>
      </w:r>
    </w:p>
    <w:p>
      <w:pPr>
        <w:pStyle w:val="Heading4"/>
      </w:pPr>
      <w:r>
        <w:t>Progression-Free Survival (PFS)</w:t>
      </w:r>
    </w:p>
    <w:p>
      <w:r>
        <w:t>**Null Hypothesis (H0):** The hazard ratio for progression-free survival equals 1.0 compared to historical controls.</w:t>
      </w:r>
    </w:p>
    <w:p>
      <w:r>
        <w:t>**Alternative Hypothesis (H1):** The hazard ratio differs from 1.0.</w:t>
      </w:r>
    </w:p>
    <w:p>
      <w:r>
        <w:t>PFS will be analyzed using the Kaplan-Meier method. Median PFS and corresponding 95% confidence intervals will be estimated using the Brookmeyer-Crowley method. The analysis will be descriptive given the single-arm design and small sample sizes typical of Phase 1/2 studies.</w:t>
      </w:r>
    </w:p>
    <w:p>
      <w:pPr>
        <w:pStyle w:val="Heading4"/>
      </w:pPr>
      <w:r>
        <w:t>Duration of Response (DOR)</w:t>
      </w:r>
    </w:p>
    <w:p>
      <w:r>
        <w:t>For patients achieving objective response, duration of response will be calculated from the date of first documented response until disease progression or death. DOR will be summarized using descriptive statistics and Kaplan-Meier methodology.</w:t>
      </w:r>
    </w:p>
    <w:p>
      <w:pPr>
        <w:pStyle w:val="Heading3"/>
      </w:pPr>
      <w:r>
        <w:t>Subgroup Analyses</w:t>
      </w:r>
    </w:p>
    <w:p>
      <w:r>
        <w:t>Pre-specified exploratory subgroup analyses will be performed for the following factors:</w:t>
        <w:br/>
        <w:t>- Age groups (&lt;65 vs ≥65 years)</w:t>
        <w:br/>
        <w:t>- Sex (male vs female)</w:t>
        <w:br/>
        <w:t>- ECOG performance status (0-1 vs 2+)</w:t>
        <w:br/>
        <w:t>- Prior lines of therapy (1-2 vs 3+ prior regimens)</w:t>
        <w:br/>
        <w:t>- Disease histology/indication (if multiple indications enrolled)</w:t>
      </w:r>
    </w:p>
    <w:p>
      <w:r>
        <w:t>Results will be presented in forest plots showing point estimates and 95% confidence intervals for each subgroup. Interaction tests will be performed using Fisher's exact test for categorical endpoints and log-rank tests for time-to-event endpoints, though these analyses will be considered exploratory given the limited sample size.</w:t>
      </w:r>
    </w:p>
    <w:p>
      <w:pPr>
        <w:pStyle w:val="Heading3"/>
      </w:pPr>
      <w:r>
        <w:t>Sensitivity Analyses</w:t>
      </w:r>
    </w:p>
    <w:p>
      <w:pPr>
        <w:pStyle w:val="Heading4"/>
      </w:pPr>
      <w:r>
        <w:t>Missing Data Handling</w:t>
        <w:br/>
        <w:t>- **Primary approach:** Patients with missing response assessments will be considered non-responders for ORR calculations</w:t>
        <w:br/>
        <w:t>- **Sensitivity analysis 1:** Complete case analysis excluding patients with missing baseline or post-baseline assessments</w:t>
        <w:br/>
        <w:t>- **Sensitivity analysis 2:** Multiple imputation for missing response data using baseline covariates</w:t>
      </w:r>
    </w:p>
    <w:p>
      <w:pPr>
        <w:pStyle w:val="Heading4"/>
      </w:pPr>
      <w:r>
        <w:t>Alternative Response Definitions</w:t>
        <w:br/>
        <w:t>- Analysis using investigator-assessed responses vs central review (if applicable)</w:t>
        <w:br/>
        <w:t>- Analysis excluding patients who discontinue treatment for reasons other than progression</w:t>
      </w:r>
    </w:p>
    <w:p>
      <w:pPr>
        <w:pStyle w:val="Heading4"/>
      </w:pPr>
      <w:r>
        <w:t>Time-to-Event Sensitivity Analyses</w:t>
        <w:br/>
        <w:t>- Alternative censoring rules for PFS (censoring at last adequate assessment vs last contact)</w:t>
        <w:br/>
        <w:t>- Analysis excluding patients with &lt;8 weeks of follow-up</w:t>
        <w:br/>
        <w:t>- Landmark analyses at 3 and 6 months for patients with adequate follow-up</w:t>
      </w:r>
    </w:p>
    <w:p>
      <w:pPr>
        <w:pStyle w:val="Heading3"/>
      </w:pPr>
      <w:r>
        <w:t>Statistical Considerations</w:t>
      </w:r>
    </w:p>
    <w:p>
      <w:r>
        <w:t>All efficacy analyses will be performed on the Full Analysis Set (FAS), defined as all patients who received at least one dose of mogamulizumab and have baseline disease assessments. Per-protocol analyses may be performed as sensitivity analyses.</w:t>
      </w:r>
    </w:p>
    <w:p>
      <w:r>
        <w:t>Given the exploratory nature of this Phase 1/2 study, no formal hypothesis testing with alpha adjustment will be performed. All analyses will be descriptive and exploratory, with 95% confidence intervals provided to assess precision of estimates.</w:t>
      </w:r>
    </w:p>
    <w:p>
      <w:r>
        <w:t>Sample size considerations are driven by safety objectives rather than statistical power for efficacy endpoints. Efficacy analyses will provide preliminary estimates to inform future Phase 2/3 study design.</w:t>
      </w:r>
    </w:p>
    <w:p>
      <w:pPr>
        <w:pStyle w:val="Heading1"/>
      </w:pPr>
      <w:r>
        <w:t>9. Safety Analyses</w:t>
      </w:r>
    </w:p>
    <w:p>
      <w:r>
        <w:t>**Safety Analyses:**</w:t>
      </w:r>
    </w:p>
    <w:p>
      <w:r>
        <w:t>**Adverse Events:** All adverse events (AEs) will be coded using the Medical Dictionary for Regulatory Activities (MedDRA) version 25.0. AEs will be summarized by System Organ Class (SOC) and Preferred Term (PT), displaying the number and percentage of patients experiencing each event. Severity will be graded according to the National Cancer Institute Common Terminology Criteria for Adverse Events (NCI CTCAE) version 5.0.</w:t>
      </w:r>
    </w:p>
    <w:p>
      <w:r>
        <w:t>Treatment-emergent adverse events (TEAEs) are defined as AEs that started or worsened after the first dose of mogamulizumab through 30 days after the last dose. Summary tables will present TEAEs, treatment-related TEAEs, Grade ≥3 TEAEs, serious adverse events (SAEs), AEs of special interest, AEs leading to dose modification/interruption, and AEs leading to treatment discontinuation. For this Phase 1/2 study, dose-limiting toxicities (DLTs) will be summarized separately for the dose-escalation phase.</w:t>
      </w:r>
    </w:p>
    <w:p>
      <w:r>
        <w:t>**Serious Adverse Events:** SAEs will be summarized by SOC and PT, with onset date, resolution date, relationship to study treatment, and outcome clearly documented. Expedited reporting requirements will be followed per regulatory guidelines. Deaths will be listed individually with primary cause and relationship assessment.</w:t>
      </w:r>
    </w:p>
    <w:p>
      <w:r>
        <w:t>**Laboratory Parameters:** Clinical laboratory data will be summarized using descriptive statistics at baseline and scheduled post-baseline visits. Shift tables will display changes from baseline (normal/low/high) to worst post-baseline value for hematology, clinical chemistry, and coagulation parameters. Laboratory values will be graded according to CTCAE version 5.0 criteria. Clinically significant laboratory abnormalities will be flagged based on predefined criteria including Grade ≥3 values and values meeting potential clinical concern thresholds.</w:t>
      </w:r>
    </w:p>
    <w:p>
      <w:r>
        <w:t>**Vital Signs:** Vital signs (blood pressure, heart rate, respiratory rate, temperature) will be summarized using descriptive statistics. Clinically notable vital sign abnormalities will be identified based on predefined criteria and flagged for medical review. Changes from baseline will be assessed at each scheduled visit.</w:t>
      </w:r>
    </w:p>
    <w:p>
      <w:r>
        <w:t>**Exposure Summary:** Treatment exposure will be summarized including duration of treatment, number of cycles received, cumulative dose of mogamulizumab, relative dose intensity, and treatment compliance. Reasons for treatment discontinuation, dose modifications, and treatment interruptions will be tabulated. For the Phase 1 portion, dose escalation data will be presented by dose cohort.</w:t>
      </w:r>
    </w:p>
    <w:p>
      <w:r>
        <w:t>**Additional Safety Assessments:** Given mogamulizumab's mechanism of action as an anti-CCR4 monoclonal antibody, specific attention will be paid to infusion-related reactions, skin toxicities, and immunogenicity. Anti-drug antibody (ADA) formation will be assessed if applicable. Safety run-in data will be presented separately from expansion cohorts where relevant to the study design.</w:t>
      </w:r>
    </w:p>
    <w:p>
      <w:pPr>
        <w:pStyle w:val="Heading1"/>
      </w:pPr>
      <w:r>
        <w:t>10. Handling of Missing Data</w:t>
      </w:r>
    </w:p>
    <w:p>
      <w:pPr>
        <w:pStyle w:val="Heading2"/>
      </w:pPr>
      <w:r>
        <w:t>Missing Data Handling</w:t>
      </w:r>
    </w:p>
    <w:p>
      <w:pPr>
        <w:pStyle w:val="Heading3"/>
      </w:pPr>
      <w:r>
        <w:t>Primary Approach</w:t>
        <w:br/>
        <w:t>The primary analysis will assume missing data follows a Missing at Random (MAR) mechanism. Given the Phase 1/2 design of this mogamulizumab study, a mixed-effects model for repeated measures (MMRM) will be employed as the primary analytical framework. This approach naturally accommodates missing data under the MAR assumption by utilizing all available observations without requiring imputation.</w:t>
      </w:r>
    </w:p>
    <w:p>
      <w:r>
        <w:t>The MMRM will include the following covariates:</w:t>
        <w:br/>
        <w:t>- Treatment group (if applicable in Phase 2 portion)</w:t>
        <w:br/>
        <w:t>- Study visit (time point)</w:t>
        <w:br/>
        <w:t>- Treatment-by-visit interaction</w:t>
        <w:br/>
        <w:t>- Baseline efficacy measurement</w:t>
        <w:br/>
        <w:t>- Relevant stratification factors (disease stage, prior therapy lines, ECOG performance status)</w:t>
      </w:r>
    </w:p>
    <w:p>
      <w:pPr>
        <w:pStyle w:val="Heading3"/>
      </w:pPr>
      <w:r>
        <w:t>Missing Data Assumptions</w:t>
        <w:br/>
        <w:t>- **Primary assumption**: Missing at Random (MAR) - missingness depends on observed data but not on unobserved values</w:t>
        <w:br/>
        <w:t>- **Alternative scenarios**: Missing Not at Random (MNAR) will be explored through sensitivity analyses</w:t>
        <w:br/>
        <w:t>- Missing Completely at Random (MCAR) will be tested using Little's MCAR test where appropriate</w:t>
      </w:r>
    </w:p>
    <w:p>
      <w:pPr>
        <w:pStyle w:val="Heading3"/>
      </w:pPr>
      <w:r>
        <w:t>Sensitivity Analyses</w:t>
      </w:r>
    </w:p>
    <w:p>
      <w:pPr>
        <w:pStyle w:val="Heading4"/>
      </w:pPr>
      <w:r>
        <w:t>1. Multiple Imputation under MAR</w:t>
        <w:br/>
        <w:t>Missing efficacy values will be imputed using multiple imputation with m=100 imputations to ensure adequate precision. The imputation model will include:</w:t>
        <w:br/>
        <w:t>- All observed efficacy measurements</w:t>
        <w:br/>
        <w:t>- Treatment assignment and baseline characteristics</w:t>
        <w:br/>
        <w:t>- Auxiliary variables predictive of missingness and outcomes</w:t>
      </w:r>
    </w:p>
    <w:p>
      <w:pPr>
        <w:pStyle w:val="Heading4"/>
      </w:pPr>
      <w:r>
        <w:t>2. Tipping Point Analysis</w:t>
        <w:br/>
        <w:t>Systematic sensitivity analysis will assess the robustness of efficacy conclusions by:</w:t>
        <w:br/>
        <w:t>- Progressively worsening imputed values for patients with missing data</w:t>
        <w:br/>
        <w:t>- Determining the delta-adjustment threshold that would change study conclusions</w:t>
        <w:br/>
        <w:t>- Applied separately by treatment group and time point</w:t>
      </w:r>
    </w:p>
    <w:p>
      <w:pPr>
        <w:pStyle w:val="Heading4"/>
      </w:pPr>
      <w:r>
        <w:t>3. Pattern Mixture Models</w:t>
        <w:br/>
        <w:t>Missing data patterns will be classified and analyzed separately to explore MNAR scenarios:</w:t>
        <w:br/>
        <w:t>- Early discontinuation pattern (≤4 weeks)</w:t>
        <w:br/>
        <w:t>- Mid-study discontinuation pattern (&gt;4 weeks to &lt;12 weeks)</w:t>
        <w:br/>
        <w:t>- Late discontinuation pattern (≥12 weeks)</w:t>
        <w:br/>
        <w:t>- Completion pattern</w:t>
      </w:r>
    </w:p>
    <w:p>
      <w:pPr>
        <w:pStyle w:val="Heading4"/>
      </w:pPr>
      <w:r>
        <w:t>4. Jump to Reference Imputation</w:t>
        <w:br/>
        <w:t>For patients discontinuing due to:</w:t>
        <w:br/>
        <w:t>- Progressive disease: Impute outcomes assuming continued disease progression</w:t>
        <w:br/>
        <w:t>- Adverse events: Impute using outcomes from historical control data</w:t>
        <w:br/>
        <w:t>- Other reasons: Impute assuming no further treatment benefit</w:t>
      </w:r>
    </w:p>
    <w:p>
      <w:pPr>
        <w:pStyle w:val="Heading4"/>
      </w:pPr>
      <w:r>
        <w:t>5. Worst-case/Best-case Scenarios</w:t>
        <w:br/>
        <w:t>- **Worst-case**: Missing responses assumed as non-responders; missing continuous outcomes imputed at worst observed value</w:t>
        <w:br/>
        <w:t>- **Best-case**: Missing responses assumed as responders; missing continuous outcomes imputed at best observed value</w:t>
      </w:r>
    </w:p>
    <w:p>
      <w:pPr>
        <w:pStyle w:val="Heading3"/>
      </w:pPr>
      <w:r>
        <w:t>Intercurrent Events Handling (ICH E9(R1) Framework)</w:t>
      </w:r>
    </w:p>
    <w:p>
      <w:pPr>
        <w:pStyle w:val="Heading4"/>
      </w:pPr>
      <w:r>
        <w:t>Treatment Discontinuation</w:t>
        <w:br/>
        <w:t>- **Strategy**: Treatment policy approach for the primary estimand</w:t>
        <w:br/>
        <w:t>- **Rationale**: Reflects real-world effectiveness including discontinuation patterns</w:t>
      </w:r>
    </w:p>
    <w:p>
      <w:pPr>
        <w:pStyle w:val="Heading4"/>
      </w:pPr>
      <w:r>
        <w:t>Use of Subsequent Anti-cancer Therapy</w:t>
        <w:br/>
        <w:t>- **Strategy**: Composite variable approach</w:t>
        <w:br/>
        <w:t>- **Implementation**: Time-to-event endpoints censored at subsequent therapy initiation</w:t>
        <w:br/>
        <w:t>- **Sensitivity**: Hypothetical strategy assuming no subsequent therapy</w:t>
      </w:r>
    </w:p>
    <w:p>
      <w:pPr>
        <w:pStyle w:val="Heading4"/>
      </w:pPr>
      <w:r>
        <w:t>Death</w:t>
        <w:br/>
        <w:t>- **Strategy**: Composite endpoint approach</w:t>
        <w:br/>
        <w:t>- **Implementation**: Death treated as event for efficacy endpoints where clinically appropriate</w:t>
      </w:r>
    </w:p>
    <w:p>
      <w:pPr>
        <w:pStyle w:val="Heading4"/>
      </w:pPr>
      <w:r>
        <w:t>Disease Progression</w:t>
        <w:br/>
        <w:t>- **Strategy**: Principal stratum approach for safety analyses</w:t>
        <w:br/>
        <w:t>- **Implementation**: Analyze patients who would not have progressed under any treatment</w:t>
      </w:r>
    </w:p>
    <w:p>
      <w:pPr>
        <w:pStyle w:val="Heading3"/>
      </w:pPr>
      <w:r>
        <w:t>Missingness Thresholds and Decision Rules</w:t>
      </w:r>
    </w:p>
    <w:p>
      <w:pPr>
        <w:pStyle w:val="Heading4"/>
      </w:pPr>
      <w:r>
        <w:t>Triggering Sensitivity Analyses</w:t>
        <w:br/>
        <w:t>- **≥20% missing data** overall: Mandatory comprehensive sensitivity analysis package</w:t>
        <w:br/>
        <w:t>- **≥15% missing data** in any treatment group: Tipping point analysis required</w:t>
        <w:br/>
        <w:t>- **≥10% differential missingness** between groups: Pattern mixture models required</w:t>
        <w:br/>
        <w:t>- **≥30% missing data** overall: Primary analysis approach reconsidered</w:t>
      </w:r>
    </w:p>
    <w:p>
      <w:pPr>
        <w:pStyle w:val="Heading4"/>
      </w:pPr>
      <w:r>
        <w:t>Missing Data Monitoring</w:t>
        <w:br/>
        <w:t>- Monthly missing data reports during study conduct</w:t>
        <w:br/>
        <w:t>- Formal interim missing data assessment at 50% enrollment</w:t>
        <w:br/>
        <w:t>- Final missing data characterization before database lock</w:t>
      </w:r>
    </w:p>
    <w:p>
      <w:pPr>
        <w:pStyle w:val="Heading3"/>
      </w:pPr>
      <w:r>
        <w:t>Documentation Requirements</w:t>
        <w:br/>
        <w:t>- Complete missing data pattern description</w:t>
        <w:br/>
        <w:t>- Rationale for primary missing data assumption</w:t>
        <w:br/>
        <w:t>- Detailed sensitivity analysis results</w:t>
        <w:br/>
        <w:t>- Assessment of impact on study conclusions</w:t>
        <w:br/>
        <w:t>- Regulatory submission will include comprehensive missing data appendix</w:t>
      </w:r>
    </w:p>
    <w:p>
      <w:pPr>
        <w:pStyle w:val="Heading3"/>
      </w:pPr>
      <w:r>
        <w:t>Software Implementation</w:t>
        <w:br/>
        <w:t>- Primary MMRM analysis: SAS PROC MIXED or PROC GLIMMIX</w:t>
        <w:br/>
        <w:t>- Multiple imputation: SAS PROC MI and PROC MIANALYZE</w:t>
        <w:br/>
        <w:t>- Sensitivity analyses: Custom SAS macros for tipping point and pattern mixture models</w:t>
        <w:br/>
        <w:t>- All analyses will include appropriate degrees of freedom adjustments for uncertainty due to missing data</w:t>
      </w:r>
    </w:p>
    <w:p>
      <w:pPr>
        <w:pStyle w:val="Heading1"/>
      </w:pPr>
      <w:r>
        <w:t>11. Interim Analyses</w:t>
      </w:r>
    </w:p>
    <w:p>
      <w:pPr>
        <w:pStyle w:val="Heading2"/>
      </w:pPr>
      <w:r>
        <w:t>Interim Analyses</w:t>
      </w:r>
    </w:p>
    <w:p>
      <w:r>
        <w:t>**Timing:** Given the Phase 1/2 design of this open-label, multicenter study of mogamulizumab, interim analyses will be conducted at the completion of Phase 1 dose-escalation portion and when approximately 50% of evaluable patients have been enrolled in the Phase 2 portion. Additional safety reviews may be conducted as deemed necessary by the Data Monitoring Committee.</w:t>
      </w:r>
    </w:p>
    <w:p>
      <w:r>
        <w:t>**Alpha-Spending:** For the Phase 2 portion, a Lan-DeMets alpha-spending function with O'Brien-Fleming-type boundaries will be used to control the overall Type I error rate at 0.05 (two-sided). The Phase 1 portion will not have formal alpha-spending controls as it is primarily focused on safety and dose-finding.</w:t>
      </w:r>
    </w:p>
    <w:p>
      <w:r>
        <w:t>**Stopping Boundaries:**</w:t>
        <w:br/>
        <w:t>- **Efficacy:** The Phase 2 portion may be stopped early for efficacy if the observed treatment effect crosses the pre-specified efficacy boundary based on the primary endpoint.</w:t>
        <w:br/>
        <w:t>- **Safety:** The study may be stopped or modified if unacceptable safety signals are observed, particularly during the Phase 1 dose-escalation portion.</w:t>
        <w:br/>
        <w:t>- **Futility:** Non-binding futility boundaries will be calculated for the Phase 2 portion using conditional power methodology to assess the likelihood of achieving the primary endpoint.</w:t>
      </w:r>
    </w:p>
    <w:p>
      <w:r>
        <w:t>**Data Monitoring Committee:** An independent Data Safety Monitoring Board (DSMB) will review unblinded safety and efficacy data at each interim analysis. The DSMB will make recommendations regarding dose escalation (Phase 1), study continuation, modification, or early termination based on the benefit-risk assessment.</w:t>
      </w:r>
    </w:p>
    <w:p>
      <w:r>
        <w:t>**Statistical Software:** Boundary calculations will be performed using EAST 6.5, SAS PROC SEQDESIGN, or equivalent validated statistical software. All calculations will be documented and verified prior to database lock.</w:t>
      </w:r>
    </w:p>
    <w:p>
      <w:pPr>
        <w:pStyle w:val="Heading1"/>
      </w:pPr>
      <w:r>
        <w:t>12. Subgroup Analyses</w:t>
      </w:r>
    </w:p>
    <w:p>
      <w:r>
        <w:t>**Subgroup Analyses:**</w:t>
      </w:r>
    </w:p>
    <w:p>
      <w:r>
        <w:t>**Pre-specified Subgroups:** The following subgroups are pre-specified for analysis:</w:t>
        <w:br/>
        <w:t>- Age: &lt;65 years vs ≥65 years</w:t>
        <w:br/>
        <w:t>- Sex: Male vs Female</w:t>
        <w:br/>
        <w:t>- ECOG Performance Status: 0 vs 1 vs ≥2</w:t>
        <w:br/>
        <w:t>- Geographic Region: North America vs Europe vs Asia-Pacific</w:t>
        <w:br/>
        <w:t>- Disease Stage: Early stage vs Advanced stage</w:t>
        <w:br/>
        <w:t>- Prior Lines of Therapy: 0-1 vs 2-3 vs ≥4</w:t>
        <w:br/>
        <w:t>- CCR4 Expression Level: High vs Low (by immunohistochemistry)</w:t>
        <w:br/>
        <w:t>- Histologic Subtype: Mycosis fungoides vs Sézary syndrome vs Other CTCL subtypes</w:t>
        <w:br/>
        <w:t>- Baseline Lactate Dehydrogenase: Normal vs Elevated</w:t>
        <w:br/>
        <w:t>- Dose Level (Phase 1): 0.1 mg/kg vs 1.0 mg/kg vs other evaluated doses</w:t>
      </w:r>
    </w:p>
    <w:p>
      <w:r>
        <w:t>**Statistical Methods:** For each subgroup, efficacy endpoints will be analyzed using the same statistical methods as specified for the primary analysis population. For time-to-event endpoints, Kaplan-Meier estimates will be calculated within each subgroup level, and Cox proportional hazards models will include treatment-by-subgroup interaction terms. For binary endpoints, logistic regression models with treatment-by-subgroup interaction terms will be utilized.</w:t>
      </w:r>
    </w:p>
    <w:p>
      <w:r>
        <w:t>**Interaction Tests:** Treatment-by-subgroup interaction will be assessed using likelihood ratio tests comparing models with and without the interaction term. A p-value &lt;0.10 will be considered indicative of potential treatment effect heterogeneity across subgroup levels.</w:t>
      </w:r>
    </w:p>
    <w:p>
      <w:r>
        <w:t>**Presentation:** Results will be displayed in forest plots showing the effect estimate (hazard ratio for time-to-event endpoints, odds ratio for binary endpoints) and corresponding 95% confidence intervals for each subgroup level. Treatment-by-subgroup interaction p-values will be included for each subgroup analysis.</w:t>
      </w:r>
    </w:p>
    <w:p>
      <w:r>
        <w:t>**Note:** All subgroup analyses are exploratory in nature and are not powered for formal hypothesis testing. No adjustments for multiplicity will be applied to subgroup analyses. Results should be interpreted with appropriate caution given the potential for chance findings due to multiple comparisons and reduced sample sizes within subgroup categories.</w:t>
      </w:r>
    </w:p>
    <w:p>
      <w:r>
        <w:br w:type="page"/>
      </w:r>
    </w:p>
    <w:p>
      <w:pPr>
        <w:pStyle w:val="Heading1"/>
      </w:pPr>
      <w:r>
        <w:t>Appendices</w:t>
      </w:r>
    </w:p>
    <w:p>
      <w:r>
        <w:t>A. List of Abbreviations</w:t>
      </w:r>
    </w:p>
    <w:p>
      <w:r>
        <w:t>B. Shell Tables and Figures</w:t>
      </w:r>
    </w:p>
    <w:p>
      <w:r>
        <w:t>C. Programming Specifications</w:t>
      </w:r>
    </w:p>
    <w:p>
      <w:r>
        <w:br w:type="page"/>
      </w:r>
    </w:p>
    <w:p>
      <w:pPr>
        <w:pStyle w:val="Heading1"/>
      </w:pPr>
      <w:r>
        <w:t>Document Quality Metrics</w:t>
      </w:r>
    </w:p>
    <w:p>
      <w:r>
        <w:t>Validation Score: 70.0/100</w:t>
      </w:r>
    </w:p>
    <w:p>
      <w:r>
        <w:t>Generated: 2025-12-26T00:17:03.026691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