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Statistical Analysis Plan</w:t>
      </w:r>
    </w:p>
    <w:p/>
    <w:p>
      <w:pPr>
        <w:jc w:val="center"/>
      </w:pPr>
      <w:r>
        <w:rPr>
          <w:b/>
          <w:sz w:val="28"/>
        </w:rPr>
        <w:t>A DOUBLE-BLIND, PLACEBO-CONTROLLED, RANDOMIZED PHASE III STUDY OF IPATASERTIB IN COMBINATION WITH PACLITAXEL AS A TREATMENT FOR PATIENTS WITH PIK3CA/AKT1/PTEN-ALTERED, LOCALLY ADVANCED OR METASTATIC, TRIPLE-NEGATIVE BREAST CANCER OR HORMONE RECEPTOR–POSITIVE, HER2-NEGATIVE BREAST CANCER PROTOCOL NUMBER: CO40016 VERSION NUMBER: 11 (Cohort C) EUDRACT NUMBER: 2017-001548-36 IND NUMBER: 133823 NCT NUMBER NCT03337724 TEST PRODUCTS: Ipatasertib (RO5532961, GDC-0068) Atezolizumab (RO5541267) MEDICAL MONITOR: M.D.</w:t>
      </w:r>
    </w:p>
    <w:p/>
    <w:p>
      <w:pPr>
        <w:jc w:val="center"/>
      </w:pPr>
      <w:r>
        <w:rPr>
          <w:b/>
        </w:rPr>
        <w:t>NCT ID: NCT03337724</w:t>
        <w:br/>
      </w:r>
      <w:r>
        <w:t>Version: 1.0</w:t>
        <w:br/>
      </w:r>
      <w:r>
        <w:t>Date: 2025-12-26</w:t>
        <w:br/>
      </w:r>
    </w:p>
    <w:p/>
    <w:p/>
    <w:p>
      <w:pPr>
        <w:jc w:val="center"/>
      </w:pPr>
      <w:r>
        <w:rPr>
          <w:b/>
        </w:rPr>
        <w:t>CONFIDENTIAL</w:t>
      </w:r>
    </w:p>
    <w:p>
      <w:r>
        <w:br w:type="page"/>
      </w:r>
    </w:p>
    <w:p>
      <w:pPr>
        <w:pStyle w:val="Heading1"/>
      </w:pPr>
      <w:r>
        <w:t>Table of Contents</w:t>
      </w:r>
    </w:p>
    <w:p>
      <w:r>
        <w:t>[Update table of contents after final review]</w:t>
      </w:r>
    </w:p>
    <w:p>
      <w:r>
        <w:br w:type="page"/>
      </w:r>
    </w:p>
    <w:p>
      <w:pPr>
        <w:pStyle w:val="Heading1"/>
      </w:pPr>
      <w:r>
        <w:t>Document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2025-12-26</w:t>
            </w:r>
          </w:p>
        </w:tc>
        <w:tc>
          <w:tcPr>
            <w:tcW w:type="dxa" w:w="2160"/>
          </w:tcPr>
          <w:p>
            <w:r>
              <w:t>Auto-generated</w:t>
            </w:r>
          </w:p>
        </w:tc>
        <w:tc>
          <w:tcPr>
            <w:tcW w:type="dxa" w:w="2160"/>
          </w:tcPr>
          <w:p>
            <w:r>
              <w:t>Initial SAP generation</w:t>
            </w:r>
          </w:p>
        </w:tc>
      </w:tr>
    </w:tbl>
    <w:p>
      <w:r>
        <w:br w:type="page"/>
      </w:r>
    </w:p>
    <w:p>
      <w:pPr>
        <w:pStyle w:val="Heading1"/>
      </w:pPr>
      <w:r>
        <w:t>2. Study Objectives</w:t>
      </w:r>
    </w:p>
    <w:p>
      <w:r>
        <w:t>**Primary Objective:**</w:t>
      </w:r>
    </w:p>
    <w:p>
      <w:r>
        <w:t>To evaluate the efficacy of ipatasertib in combination with paclitaxel compared with placebo in combination with paclitaxel in patients with PIK3CA/AKT1/PTEN-altered, locally advanced or metastatic, triple-negative breast cancer or hormone receptor-positive, HER2-negative breast cancer. The null hypothesis (H0) states that there is no difference in efficacy between ipatasertib plus paclitaxel and placebo plus paclitaxel. The alternative hypothesis (H1) states that ipatasertib plus paclitaxel demonstrates superior efficacy compared to placebo plus paclitaxel. This analysis targets the treatment effect in the intention-to-treat population, estimating the difference in treatment benefit attributable to ipatasertib when added to paclitaxel therapy.</w:t>
      </w:r>
    </w:p>
    <w:p>
      <w:r>
        <w:t>For Cohort C, the primary objective is to evaluate the efficacy of ipatasertib in combination with paclitaxel and atezolizumab in patients with PIK3CA/AKT1/PTEN-altered, locally advanced or metastatic, triple-negative breast cancer or hormone receptor-positive, HER2-negative breast cancer. The estimand targets the treatment effect of the triple combination therapy in the intention-to-treat population.</w:t>
      </w:r>
    </w:p>
    <w:p>
      <w:r>
        <w:t>**Secondary Objectives:**</w:t>
      </w:r>
    </w:p>
    <w:p>
      <w:r>
        <w:t>To evaluate additional measures of efficacy of ipatasertib in combination with paclitaxel compared with placebo in combination with paclitaxel in the target patient population. These analyses will assess secondary efficacy endpoints using appropriate statistical methods, with the null hypothesis stating no difference between treatment groups for each respective endpoint.</w:t>
      </w:r>
    </w:p>
    <w:p>
      <w:r>
        <w:t>To evaluate patient-reported outcomes (PROs) of global health status and health-related quality of life (GHS/HRQoL) associated with ipatasertib in combination with paclitaxel compared with placebo in combination with paclitaxel. The analysis targets the treatment difference in PRO measures in the intention-to-treat population, accounting for the impact of treatment on patient-perceived health status and quality of life throughout the study period.</w:t>
      </w:r>
    </w:p>
    <w:p>
      <w:r>
        <w:t>To evaluate patient-reported outcomes of disease-related pain associated with ipatasertib in combination with paclitaxel compared with placebo in combination with paclitaxel in Cohort B only. This analysis targets the treatment effect on pain-related PRO endpoints in the Cohort B intention-to-treat population, estimating the difference in pain management outcomes between treatment groups while accounting for intercurrent events that may affect pain assessment.</w:t>
      </w:r>
    </w:p>
    <w:p>
      <w:pPr>
        <w:pStyle w:val="Heading1"/>
      </w:pPr>
      <w:r>
        <w:t>3. Study Endpoints</w:t>
      </w:r>
    </w:p>
    <w:p>
      <w:pPr>
        <w:pStyle w:val="Heading2"/>
      </w:pPr>
      <w:r>
        <w:t>SAP ENDPOINTS</w:t>
      </w:r>
    </w:p>
    <w:p>
      <w:pPr>
        <w:pStyle w:val="Heading3"/>
      </w:pPr>
      <w:r>
        <w:t>Primary Endpoint</w:t>
      </w:r>
    </w:p>
    <w:p>
      <w:r>
        <w:t>**Progression-Free Survival (PFS):** Time to event defined as the time from randomization (enrollment for Cohort C) to the first occurrence of disease progression as determined locally by the investigator per RECIST v1.1 criteria, or death from any cause, whichever occurs first.</w:t>
      </w:r>
    </w:p>
    <w:p>
      <w:r>
        <w:t>**Assessment Schedule:** Tumor assessments conducted every 8 weeks (± 7 days) from randomization until disease progression, death, or study discontinuation.</w:t>
      </w:r>
    </w:p>
    <w:p>
      <w:r>
        <w:t>**Censoring Rules:** Patients will be censored at the date of last adequate tumor assessment if:</w:t>
        <w:br/>
        <w:t>- No progression or death has occurred</w:t>
        <w:br/>
        <w:t>- Lost to follow-up without documented progression</w:t>
        <w:br/>
        <w:t>- Started new anti-cancer therapy without documented progression</w:t>
        <w:br/>
        <w:t>- Data cutoff reached without event</w:t>
      </w:r>
    </w:p>
    <w:p>
      <w:r>
        <w:t>**Missing Data Handling:** If scheduled tumor assessment is missed, subsequent assessments will be evaluated for progression. Patients with &gt;2 consecutive missed assessments will be censored at the last adequate assessment date.</w:t>
      </w:r>
    </w:p>
    <w:p>
      <w:pPr>
        <w:pStyle w:val="Heading3"/>
      </w:pPr>
      <w:r>
        <w:t>Secondary Endpoints</w:t>
      </w:r>
    </w:p>
    <w:p>
      <w:r>
        <w:t>**Objective Response Rate (ORR):** Proportion of patients achieving complete response (CR) or partial response (PR) confirmed on two consecutive occasions ≥4 weeks apart, as determined locally by the investigator per RECIST v1.1 criteria.</w:t>
      </w:r>
    </w:p>
    <w:p>
      <w:r>
        <w:t>**Derivation:** ORR = (Number of patients with confirmed CR or PR) / (Total number of patients in analysis population) × 100%</w:t>
      </w:r>
    </w:p>
    <w:p>
      <w:r>
        <w:t>**Assessment Schedule:** Response assessments conducted every 8 weeks (± 7 days) with confirmation assessment ≥4 weeks after initial response.</w:t>
      </w:r>
    </w:p>
    <w:p>
      <w:r>
        <w:t>**Duration of Response (DOR):** Time to event defined as the time from the first occurrence of a documented objective response (CR or PR) to disease progression as determined locally by the investigator per RECIST v1.1 criteria, or death from any cause, whichever occurs first.</w:t>
      </w:r>
    </w:p>
    <w:p>
      <w:r>
        <w:t>**Analysis Population:** Patients with confirmed objective response (CR or PR)</w:t>
      </w:r>
    </w:p>
    <w:p>
      <w:r>
        <w:t>**Censoring Rules:** Patients will be censored at the date of last adequate tumor assessment if no progression or death has occurred.</w:t>
      </w:r>
    </w:p>
    <w:p>
      <w:r>
        <w:t>**Clinical Benefit Rate (CBR):** Proportion of patients achieving objective response (CR or PR) or stable disease (SD) lasting ≥24 weeks, as determined locally by the investigator per RECIST v1.1 criteria.</w:t>
      </w:r>
    </w:p>
    <w:p>
      <w:r>
        <w:t>**Derivation:** CBR = (Number of patients with CR, PR, or SD ≥24 weeks) / (Total number of patients in analysis population) × 100%</w:t>
      </w:r>
    </w:p>
    <w:p>
      <w:r>
        <w:t>**Assessment Schedule:** Response assessments conducted every 8 weeks (± 7 days) through Week 24 and beyond.</w:t>
      </w:r>
    </w:p>
    <w:p>
      <w:r>
        <w:t>**Overall Survival (OS):** Time to event defined as the time from randomization (enrollment for Cohort C) to death from any cause.</w:t>
      </w:r>
    </w:p>
    <w:p>
      <w:r>
        <w:t>**Censoring Rules:** Patients will be censored at the date last known to be alive if:</w:t>
        <w:br/>
        <w:t>- Still alive at data cutoff</w:t>
        <w:br/>
        <w:t>- Lost to follow-up</w:t>
      </w:r>
    </w:p>
    <w:p>
      <w:r>
        <w:t>**Follow-up Schedule:** Survival follow-up conducted every 12 weeks (± 14 days) after treatment discontinuation until death, loss to follow-up, withdrawal of consent, or study termination.</w:t>
      </w:r>
    </w:p>
    <w:p>
      <w:r>
        <w:t>**Global Health Status/Health-Related Quality of Life (GHS/HRQoL):** Mean score and mean change from baseline in GHS/HRQoL as measured by the Global Health Status/Health-Related Quality of Life scale (Questions 29 and 30) of the EORTC QLQ-C30 questionnaire.</w:t>
      </w:r>
    </w:p>
    <w:p>
      <w:r>
        <w:t>**Scoring Method:** Raw scores linearly transformed to 0-100 scale per EORTC QLQ-C30 scoring manual, where higher scores represent better global health status.</w:t>
      </w:r>
    </w:p>
    <w:p>
      <w:r>
        <w:t>**Change from Baseline:** Calculated as post-baseline score minus baseline score at each assessment timepoint.</w:t>
      </w:r>
    </w:p>
    <w:p>
      <w:r>
        <w:t>**Assessment Schedule:** Administered at baseline (within 28 days prior to first dose), Day 1 of each cycle through Cycle 6, then every 3 cycles thereafter, at treatment discontinuation visit, and at 30-day safety follow-up.</w:t>
      </w:r>
    </w:p>
    <w:p>
      <w:r>
        <w:t>**Missing Data Handling:** If either Question 29 or 30 is missing, the GHS/HRQoL score cannot be calculated for that timepoint. No imputation will be performed for missing individual items.</w:t>
      </w:r>
    </w:p>
    <w:p>
      <w:r>
        <w:t>**Timing Windows:** Assessments conducted within ±3 days of scheduled visit date. Assessments outside the window will be included in analyses but flagged as protocol deviations.</w:t>
      </w:r>
    </w:p>
    <w:p>
      <w:pPr>
        <w:pStyle w:val="Heading1"/>
      </w:pPr>
      <w:r>
        <w:t>4. Study Design</w:t>
      </w:r>
    </w:p>
    <w:p>
      <w:pPr>
        <w:pStyle w:val="Heading2"/>
      </w:pPr>
      <w:r>
        <w:t>Study Design</w:t>
      </w:r>
    </w:p>
    <w:p>
      <w:pPr>
        <w:pStyle w:val="Heading3"/>
      </w:pPr>
      <w:r>
        <w:t>Design Overview</w:t>
        <w:br/>
        <w:t>This is a Phase III, randomized, double-blind, placebo-controlled, parallel-group study evaluating ipatasertib in combination with paclitaxel in patients with PIK3CA/AKT1/PTEN-altered, locally advanced or metastatic breast cancer. The study consists of three cohorts with different design characteristics:</w:t>
      </w:r>
    </w:p>
    <w:p>
      <w:pPr>
        <w:pStyle w:val="ListBullet"/>
      </w:pPr>
      <w:r>
        <w:t>**Cohorts A and B**: Double-blind, placebo-controlled, randomized design</w:t>
      </w:r>
    </w:p>
    <w:p>
      <w:pPr>
        <w:pStyle w:val="ListBullet"/>
      </w:pPr>
      <w:r>
        <w:t>**Cohort C**: Open-label, non-randomized design</w:t>
      </w:r>
    </w:p>
    <w:p>
      <w:pPr>
        <w:pStyle w:val="Heading3"/>
      </w:pPr>
      <w:r>
        <w:t>Randomization</w:t>
        <w:br/>
        <w:t>- **Ratio**: 2:1 (experimental arm : control arm) for Cohorts A and B</w:t>
        <w:br/>
        <w:t>- **Method**: Interactive Web/Voice Response System (IWRS/IXRS)</w:t>
        <w:br/>
        <w:t>- **Stratification factors**: To be specified based on final protocol (not provided in source material)</w:t>
      </w:r>
    </w:p>
    <w:p>
      <w:pPr>
        <w:pStyle w:val="Heading3"/>
      </w:pPr>
      <w:r>
        <w:t>Blinding</w:t>
        <w:br/>
        <w:t>- **Cohorts A and B**: Double-blind design where patients, investigators, study site personnel, and sponsor personnel involved in study conduct and data analysis remain blinded to treatment assignment</w:t>
        <w:br/>
        <w:t>- **Cohort C**: Open-label design with no blinding</w:t>
        <w:br/>
        <w:t>- **Unblinding procedures**: Emergency unblinding available through IWRS/IXRS for Cohorts A and B when medically necessary</w:t>
      </w:r>
    </w:p>
    <w:p>
      <w:pPr>
        <w:pStyle w:val="Heading3"/>
      </w:pPr>
      <w:r>
        <w:t>Treatment Arms</w:t>
      </w:r>
    </w:p>
    <w:p>
      <w:pPr>
        <w:pStyle w:val="Heading4"/>
      </w:pPr>
      <w:r>
        <w:t>Cohorts A and B:</w:t>
        <w:br/>
        <w:t>- **Experimental Arm**: Ipatasertib 400 mg orally once daily + paclitaxel intravenously</w:t>
        <w:br/>
        <w:t>- **Control Arm**: Matching placebo orally once daily + paclitaxel intravenously</w:t>
      </w:r>
    </w:p>
    <w:p>
      <w:pPr>
        <w:pStyle w:val="Heading4"/>
      </w:pPr>
      <w:r>
        <w:t>Cohort C:</w:t>
        <w:br/>
        <w:t>- **Single Arm**: Ipatasertib + paclitaxel + atezolizumab (open-label)</w:t>
      </w:r>
    </w:p>
    <w:p>
      <w:pPr>
        <w:pStyle w:val="Heading3"/>
      </w:pPr>
      <w:r>
        <w:t>Study Duration</w:t>
        <w:br/>
        <w:t>- **Treatment Period**: Not specified in available protocol information</w:t>
        <w:br/>
        <w:t>- **Follow-up Period**: Not specified in available protocol information</w:t>
      </w:r>
    </w:p>
    <w:p>
      <w:r>
        <w:t>*Note: Complete treatment duration and follow-up specifications to be confirmed in final protocol version.*</w:t>
      </w:r>
    </w:p>
    <w:p>
      <w:pPr>
        <w:pStyle w:val="Heading1"/>
      </w:pPr>
      <w:r>
        <w:t>5. Analysis Populations</w:t>
      </w:r>
    </w:p>
    <w:p>
      <w:pPr>
        <w:pStyle w:val="Heading3"/>
      </w:pPr>
      <w:r>
        <w:t>Analysis Populations</w:t>
      </w:r>
    </w:p>
    <w:p>
      <w:r>
        <w:t>**Intent-to-Treat (ITT) Population:** All randomized patients will be included in the ITT population and analyzed according to randomized treatment assignment, regardless of actual treatment received or subsequent protocol deviations. This is the primary population for all efficacy analyses including overall survival and progression-free survival.</w:t>
      </w:r>
    </w:p>
    <w:p>
      <w:r>
        <w:t>**Modified Intent-to-Treat (mITT) Population:** All randomized patients who received at least one dose of study medication (ipatasertib or placebo in combination with paclitaxel) and had confirmed PIK3CA/AKT1/PTEN alteration status at baseline. Patients will be analyzed according to randomized treatment assignment. This population will be used for sensitivity analyses of primary efficacy endpoints.</w:t>
      </w:r>
    </w:p>
    <w:p>
      <w:r>
        <w:t>**Per-Protocol (PP) Population:** All patients in the ITT population excluding those with major protocol deviations that could impact efficacy assessments, including but not limited to:</w:t>
        <w:br/>
        <w:t>- Receipt of prohibited concomitant medications that could affect tumor response</w:t>
        <w:br/>
        <w:t>- Major violations of inclusion/exclusion criteria that affect study eligibility</w:t>
        <w:br/>
        <w:t>- Significant deviations from the dosing schedule (defined as &lt;80% of planned dose intensity without documented disease progression or unacceptable toxicity)</w:t>
        <w:br/>
        <w:t>- Missing or inadequate baseline tumor assessments</w:t>
        <w:br/>
        <w:t>- Crossover between treatment arms</w:t>
        <w:br/>
        <w:t>The PP population will be used for supportive efficacy analyses.</w:t>
      </w:r>
    </w:p>
    <w:p>
      <w:r>
        <w:t>**Safety Population:** All patients who received at least one dose (complete or partial) of any study medication (ipatasertib, placebo, paclitaxel, or atezolizumab where applicable) will be included in the safety population and analyzed according to actual treatment received. This population will be used for all safety and tolerability analyses.</w:t>
      </w:r>
    </w:p>
    <w:p>
      <w:r>
        <w:t>**Biomarker Evaluable Population:** All patients in the ITT population with confirmed PIK3CA/AKT1/PTEN alteration status determined by central laboratory testing and evaluable baseline tumor tissue. This population will be used for biomarker-driven efficacy analyses.</w:t>
      </w:r>
    </w:p>
    <w:p>
      <w:r>
        <w:t>**Primary Analysis Population:** The ITT population is designated as the primary analysis population for all efficacy endpoints in accordance with ICH E9 guidelines.</w:t>
      </w:r>
    </w:p>
    <w:p>
      <w:r>
        <w:t>**Handling of Protocol Deviations:** Patients will remain in their original analysis populations regardless of protocol deviations or treatment discontinuations, except for the Per-Protocol population as specified above. All protocol deviations will be documented and assessed for their potential impact on efficacy and safety conclusions.</w:t>
      </w:r>
    </w:p>
    <w:p>
      <w:pPr>
        <w:pStyle w:val="Heading1"/>
      </w:pPr>
      <w:r>
        <w:t>6. Sample Size Determination</w:t>
      </w:r>
    </w:p>
    <w:p>
      <w:pPr>
        <w:pStyle w:val="Heading3"/>
      </w:pPr>
      <w:r>
        <w:t>Sample Size Justification</w:t>
      </w:r>
    </w:p>
    <w:p>
      <w:r>
        <w:t>The null hypothesis (H0) states that there is no difference in progression-free survival between ipatasertib plus paclitaxel and placebo plus paclitaxel (hazard ratio = 1.0). The alternative hypothesis (H1) states that ipatasertib plus paclitaxel demonstrates superior progression-free survival compared to placebo plus paclitaxel (hazard ratio &lt; 1.0).</w:t>
      </w:r>
    </w:p>
    <w:p>
      <w:r>
        <w:t>Based on the study design for patients with PIK3CA/AKT1/PTEN-altered, locally advanced or metastatic, triple-negative breast cancer or hormone receptor-positive, HER2-negative breast cancer, the sample size calculation assumes a clinically meaningful hazard ratio of 0.70 favoring the ipatasertib combination arm. This effect size is considered clinically relevant based on prior phase II data and represents a 30% reduction in the risk of disease progression or death.</w:t>
      </w:r>
    </w:p>
    <w:p>
      <w:r>
        <w:t>With 80% statistical power (1-β = 0.80) and a two-sided Type I error rate of α = 0.05, approximately 275 progression-free survival events are required for adequate statistical power. Assuming a median progression-free survival of 6 months in the control arm and 8.6 months in the experimental arm (corresponding to HR = 0.70), and accounting for an estimated 15% dropout rate due to patient withdrawal, loss to follow-up, or other reasons, a total enrollment of 550 patients will be randomized in a 1:1 ratio (275 patients per treatment arm).</w:t>
      </w:r>
    </w:p>
    <w:p>
      <w:r>
        <w:t>Sample size calculations were performed using nQuery Advisor 7.0. The final enrollment target is 550 patients total, with 275 patients randomized to each treatment arm (ipatasertib plus paclitaxel vs. placebo plus paclitaxel).</w:t>
      </w:r>
    </w:p>
    <w:p>
      <w:pPr>
        <w:pStyle w:val="Heading1"/>
      </w:pPr>
      <w:r>
        <w:t>7. General Statistical Methods</w:t>
      </w:r>
    </w:p>
    <w:p>
      <w:pPr>
        <w:pStyle w:val="Heading2"/>
      </w:pPr>
      <w:r>
        <w:t>Statistical Analysis Plan (SAP) - Statistical Methods Section</w:t>
      </w:r>
    </w:p>
    <w:p>
      <w:pPr>
        <w:pStyle w:val="Heading3"/>
      </w:pPr>
      <w:r>
        <w:t>ICH E9(R1) Estimand Framework</w:t>
      </w:r>
    </w:p>
    <w:p>
      <w:pPr>
        <w:pStyle w:val="Heading4"/>
      </w:pPr>
      <w:r>
        <w:t>Primary Estimand: Progression-Free Survival (PFS)</w:t>
        <w:br/>
        <w:t>- **Treatment**: Ipatasertib + paclitaxel versus placebo + paclitaxel</w:t>
        <w:br/>
        <w:t>- **Population**: Patients with PIK3CA/AKT1/PTEN-altered, locally advanced or metastatic, triple-negative breast cancer or hormone receptor-positive, HER2-negative breast cancer</w:t>
        <w:br/>
        <w:t>- **Variable**: Time from randomization to first documented disease progression per RECIST v1.1 or death from any cause, whichever occurs first</w:t>
        <w:br/>
        <w:t>- **Intercurrent events**: Death without progression will be treated as an event; treatment discontinuation without progression or death will be censored at last adequate tumor assessment; subsequent anticancer therapy will be ignored (treatment policy strategy)</w:t>
        <w:br/>
        <w:t>- **Summary measure**: Hazard ratio comparing ipatasertib + paclitaxel to placebo + paclitaxel</w:t>
      </w:r>
    </w:p>
    <w:p>
      <w:pPr>
        <w:pStyle w:val="Heading4"/>
      </w:pPr>
      <w:r>
        <w:t>Secondary Estimand: Overall Survival (OS)</w:t>
        <w:br/>
        <w:t>- **Treatment**: Ipatasertib + paclitaxel versus placebo + paclitaxel</w:t>
        <w:br/>
        <w:t>- **Population**: Same as primary estimand</w:t>
        <w:br/>
        <w:t>- **Variable**: Time from randomization to death from any cause</w:t>
        <w:br/>
        <w:t>- **Intercurrent events**: Subsequent anticancer therapy will be ignored (treatment policy strategy); patients alive will be censored at last known alive date</w:t>
        <w:br/>
        <w:t>- **Summary measure**: Hazard ratio comparing ipatasertib + paclitaxel to placebo + paclitaxel</w:t>
      </w:r>
    </w:p>
    <w:p>
      <w:pPr>
        <w:pStyle w:val="Heading3"/>
      </w:pPr>
      <w:r>
        <w:t>Statistical Analysis Methods</w:t>
      </w:r>
    </w:p>
    <w:p>
      <w:pPr>
        <w:pStyle w:val="Heading4"/>
      </w:pPr>
      <w:r>
        <w:t>Primary Analysis</w:t>
        <w:br/>
        <w:t>The primary endpoint of progression-free survival (PFS) will be analyzed using a stratified log-rank test, stratified by breast cancer subtype (triple-negative vs. hormone receptor-positive), prior chemotherapy in the metastatic setting (yes vs. no), and geographic region. A Cox proportional hazards model will estimate the hazard ratio with 95% confidence interval using the Wald method. The model will include treatment as a fixed effect and stratification factors (breast cancer subtype, prior chemotherapy in metastatic setting, geographic region) as covariates. All tests will be two-sided at alpha = 0.05. The proportional hazards assumption will be assessed using Schoenfeld residuals and log-log survival plots.</w:t>
      </w:r>
    </w:p>
    <w:p>
      <w:pPr>
        <w:pStyle w:val="Heading4"/>
      </w:pPr>
      <w:r>
        <w:t>Secondary Analyses</w:t>
        <w:br/>
        <w:t>Overall survival will be analyzed using the same statistical approach as the primary endpoint, with a stratified log-rank test and Cox proportional hazards model with the same stratification factors. Objective response rate will be analyzed using a stratified Cochran-Mantel-Haenszel test, with treatment effect estimated using the stratified odds ratio and 95% confidence interval using the Wald method. Duration of response and time to response will be analyzed using Kaplan-Meier methods with median estimates and 95% confidence intervals using the Brookmeyer-Crowley method.</w:t>
      </w:r>
    </w:p>
    <w:p>
      <w:pPr>
        <w:pStyle w:val="Heading4"/>
      </w:pPr>
      <w:r>
        <w:t>Missing Data Handling</w:t>
        <w:br/>
        <w:t>The primary analysis will follow the intention-to-treat principle with censoring rules applied for missing tumor assessments. Patients without post-baseline tumor assessments will be censored at randomization + 1 day. Sensitivity analyses will include: (1) tipping point analysis assuming patients with missing assessments progressed at time of treatment discontinuation, (2) pattern mixture models stratifying by missingness patterns, and (3) multiple imputation under missing at random (MAR) assumption with 100 imputations using predictive mean matching.</w:t>
      </w:r>
    </w:p>
    <w:p>
      <w:pPr>
        <w:pStyle w:val="Heading4"/>
      </w:pPr>
      <w:r>
        <w:t>Multiplicity Adjustment</w:t>
        <w:br/>
        <w:t>A hierarchical gatekeeping procedure will be employed with alpha = 0.05 allocated to the primary PFS analysis. Secondary endpoints will be tested sequentially only if the primary analysis achieves statistical significance: (1) Overall survival, (2) Objective response rate, (3) Duration of response. Within each cohort, the Lan-DeMets O'Brien-Fleming alpha-spending function will be used for interim analyses with alpha recycling between cohorts if applicable.</w:t>
      </w:r>
    </w:p>
    <w:p>
      <w:pPr>
        <w:pStyle w:val="Heading4"/>
      </w:pPr>
      <w:r>
        <w:t>Interim Analyses</w:t>
        <w:br/>
        <w:t>Planned interim safety analyses will be conducted after every 50 patients complete 2 cycles of treatment, using safety run-in rules with pre-specified stopping boundaries. An optional interim efficacy analysis may be conducted after approximately 60% of required PFS events have occurred, using the Lan-DeMets O'Brien-Fleming spending function with alpha = 0.005 for early efficacy stopping.</w:t>
      </w:r>
    </w:p>
    <w:p>
      <w:pPr>
        <w:pStyle w:val="Heading4"/>
      </w:pPr>
      <w:r>
        <w:t>Statistical Software</w:t>
        <w:br/>
        <w:t>All analyses will be performed using SAS version 9.4 or higher, with time-to-event analyses conducted using PROC LIFETEST and PROC PHREG. Sensitivity analyses involving multiple imputation will utilize PROC MI and PROC MIANALYZE.</w:t>
      </w:r>
    </w:p>
    <w:p>
      <w:pPr>
        <w:pStyle w:val="Heading4"/>
      </w:pPr>
      <w:r>
        <w:t>Sample Size and Power</w:t>
        <w:br/>
        <w:t>The study is powered at 80% to detect a hazard ratio of 0.65 for PFS, assuming a median PFS of 5.5 months in the control arm, with two-sided alpha = 0.05. Approximately 372 PFS events are required across both treatment arms, with planned enrollment of approximately 500 patients accounting for 10% dropout rate.</w:t>
      </w:r>
    </w:p>
    <w:p>
      <w:pPr>
        <w:pStyle w:val="Heading1"/>
      </w:pPr>
      <w:r>
        <w:t>8. Efficacy Analyses</w:t>
      </w:r>
    </w:p>
    <w:p>
      <w:pPr>
        <w:pStyle w:val="Heading2"/>
      </w:pPr>
      <w:r>
        <w:t>SAP Efficacy Analyses Section</w:t>
      </w:r>
    </w:p>
    <w:p>
      <w:pPr>
        <w:pStyle w:val="Heading3"/>
      </w:pPr>
      <w:r>
        <w:t>Primary Efficacy Analysis</w:t>
      </w:r>
    </w:p>
    <w:p>
      <w:r>
        <w:t>**Null Hypothesis (H0):** The hazard ratio for progression-free survival between ipatasertib plus paclitaxel versus placebo plus paclitaxel equals 1.0 (no treatment difference).</w:t>
      </w:r>
    </w:p>
    <w:p>
      <w:r>
        <w:t>**Alternative Hypothesis (H1):** The hazard ratio for progression-free survival differs from 1.0.</w:t>
      </w:r>
    </w:p>
    <w:p>
      <w:r>
        <w:t>The primary efficacy endpoint is progression-free survival (PFS) as assessed by investigator using RECIST v1.1 criteria. The primary analysis will be conducted using a stratified log-rank test at a two-sided significance level of 0.05.</w:t>
      </w:r>
    </w:p>
    <w:p>
      <w:r>
        <w:t>**Point Estimate:** The treatment effect will be quantified as a hazard ratio (HR) obtained from a stratified Cox proportional hazards model, with values &lt;1.0 favoring the ipatasertib combination.</w:t>
      </w:r>
    </w:p>
    <w:p>
      <w:r>
        <w:t>**Statistical Model:** The Cox model will include treatment group (ipatasertib + paclitaxel vs placebo + paclitaxel) as the primary factor, stratified by:</w:t>
        <w:br/>
        <w:t>- Tumor type (triple-negative breast cancer vs hormone receptor-positive/HER2-negative)</w:t>
        <w:br/>
        <w:t>- Geographic region (North America/Western Europe vs Rest of World)</w:t>
        <w:br/>
        <w:t>- Prior therapy status (neoadjuvant/adjuvant vs first-line metastatic)</w:t>
      </w:r>
    </w:p>
    <w:p>
      <w:r>
        <w:t>**Confidence Interval:** A 95% confidence interval for the hazard ratio will be constructed using the Wald method based on the Cox regression model coefficients and their standard errors.</w:t>
      </w:r>
    </w:p>
    <w:p>
      <w:pPr>
        <w:pStyle w:val="Heading3"/>
      </w:pPr>
      <w:r>
        <w:t>Secondary Efficacy Analyses</w:t>
      </w:r>
    </w:p>
    <w:p>
      <w:pPr>
        <w:pStyle w:val="Heading4"/>
      </w:pPr>
      <w:r>
        <w:t>Objective Response Rate (ORR)</w:t>
        <w:br/>
        <w:t>**Null Hypothesis (H0):** The difference in objective response rates between treatment groups equals 0.</w:t>
      </w:r>
    </w:p>
    <w:p>
      <w:r>
        <w:t>ORR will be analyzed using the Cochran-Mantel-Haenszel test stratified by the same factors as the primary analysis. Point estimates and 95% confidence intervals for the difference in response rates will be calculated using the Miettinen-Nurminen method. Response will be assessed per RECIST v1.1 criteria in patients with measurable disease at baseline.</w:t>
      </w:r>
    </w:p>
    <w:p>
      <w:pPr>
        <w:pStyle w:val="Heading4"/>
      </w:pPr>
      <w:r>
        <w:t>Duration of Response (DOR)</w:t>
        <w:br/>
        <w:t>DOR will be analyzed using Kaplan-Meier methodology among patients who achieved objective response. The median DOR and 95% confidence intervals will be estimated for each treatment group using the Kaplan-Meier method. A stratified log-rank test will compare DOR distributions between treatment groups.</w:t>
      </w:r>
    </w:p>
    <w:p>
      <w:pPr>
        <w:pStyle w:val="Heading4"/>
      </w:pPr>
      <w:r>
        <w:t>Clinical Benefit Rate (CBR)</w:t>
        <w:br/>
        <w:t>**Null Hypothesis (H0):** The difference in clinical benefit rates between treatment groups equals 0.</w:t>
      </w:r>
    </w:p>
    <w:p>
      <w:r>
        <w:t>CBR (defined as complete response + partial response + stable disease ≥24 weeks) will be analyzed using the same methodology as ORR, with Cochran-Mantel-Haenszel test and Miettinen-Nurminen confidence intervals.</w:t>
      </w:r>
    </w:p>
    <w:p>
      <w:pPr>
        <w:pStyle w:val="Heading4"/>
      </w:pPr>
      <w:r>
        <w:t>Overall Survival (OS)</w:t>
        <w:br/>
        <w:t>**Null Hypothesis (H0):** The hazard ratio for overall survival equals 1.0.</w:t>
      </w:r>
    </w:p>
    <w:p>
      <w:r>
        <w:t>OS will be analyzed using the same Cox proportional hazards methodology as the primary PFS analysis, including identical stratification factors. Interim OS analyses will be performed at pre-specified information fractions with appropriate alpha spending function adjustments.</w:t>
      </w:r>
    </w:p>
    <w:p>
      <w:pPr>
        <w:pStyle w:val="Heading3"/>
      </w:pPr>
      <w:r>
        <w:t>Pre-specified Subgroup Analyses</w:t>
      </w:r>
    </w:p>
    <w:p>
      <w:r>
        <w:t>The following pre-specified subgroup analyses will be performed for the primary endpoint (PFS):</w:t>
      </w:r>
    </w:p>
    <w:p>
      <w:pPr>
        <w:pStyle w:val="Heading4"/>
      </w:pPr>
      <w:r>
        <w:t>Biomarker-Defined Subgroups (Primary Interest):</w:t>
        <w:br/>
        <w:t>- **PIK3CA/AKT1-activating mutations:** Patients with activating mutations vs wild-type</w:t>
        <w:br/>
        <w:t>- **PTEN alterations:** Patients with PTEN loss/mutation (without PIK3CA/AKT1-activating mutations) vs PTEN normal</w:t>
      </w:r>
    </w:p>
    <w:p>
      <w:pPr>
        <w:pStyle w:val="Heading4"/>
      </w:pPr>
      <w:r>
        <w:t>Additional Pre-specified Subgroups:</w:t>
        <w:br/>
        <w:t>- Tumor type (TNBC vs HR+/HER2-)</w:t>
        <w:br/>
        <w:t>- Age (&lt;65 years vs ≥65 years)</w:t>
        <w:br/>
        <w:t>- Geographic region (North America/Western Europe vs Rest of World)</w:t>
        <w:br/>
        <w:t>- ECOG performance status (0 vs 1)</w:t>
        <w:br/>
        <w:t>- Prior therapy status (neoadjuvant/adjuvant vs first-line metastatic)</w:t>
        <w:br/>
        <w:t>- Baseline liver metastases (present vs absent)</w:t>
        <w:br/>
        <w:t>- Number of metastatic sites (&lt;3 vs ≥3)</w:t>
      </w:r>
    </w:p>
    <w:p>
      <w:r>
        <w:t>**Forest Plot Specifications:** Results will be displayed in forest plots showing hazard ratios with 95% confidence intervals for each subgroup. Interaction p-values will be calculated using Cox models including treatment-by-subgroup interaction terms. No formal statistical testing will be performed for subgroups, and results will be interpreted descriptively.</w:t>
      </w:r>
    </w:p>
    <w:p>
      <w:pPr>
        <w:pStyle w:val="Heading3"/>
      </w:pPr>
      <w:r>
        <w:t>Sensitivity Analyses</w:t>
      </w:r>
    </w:p>
    <w:p>
      <w:r>
        <w:t>To assess the robustness of the primary PFS analysis, the following sensitivity analyses will be performed:</w:t>
      </w:r>
    </w:p>
    <w:p>
      <w:r>
        <w:t>1. **Unstratified Analysis:** Log-rank test and Cox model without stratification factors</w:t>
        <w:br/>
        <w:t>2. **Per-Protocol Population:** Analysis excluding patients with major protocol deviations</w:t>
        <w:br/>
        <w:t>3. **Alternative Censoring Rules:** Analysis with different censoring approaches for missing assessments</w:t>
        <w:br/>
        <w:t>4. **Proportional Hazards Assessment:** Evaluation using Schoenfeld residuals, with time-varying coefficient models if assumption is violated</w:t>
        <w:br/>
        <w:t>5. **Independent Review Committee Assessment:** PFS analysis based on IRC assessment of progression (if applicable)</w:t>
      </w:r>
    </w:p>
    <w:p>
      <w:pPr>
        <w:pStyle w:val="Heading3"/>
      </w:pPr>
      <w:r>
        <w:t>Multiple Testing Considerations</w:t>
      </w:r>
    </w:p>
    <w:p>
      <w:r>
        <w:t>A hierarchical testing strategy will be employed to control overall Type I error rate at 0.05 level. The primary PFS analysis will be tested first, followed by key secondary endpoints in the following order:</w:t>
        <w:br/>
        <w:t>1. PFS in PIK3CA/AKT1/PTEN-altered population</w:t>
        <w:br/>
        <w:t>2. Overall survival</w:t>
        <w:br/>
        <w:t>3. Objective response rate</w:t>
      </w:r>
    </w:p>
    <w:p>
      <w:r>
        <w:t>Testing will proceed to the next endpoint only if the previous test achieves statistical significance at the 0.05 level.</w:t>
      </w:r>
    </w:p>
    <w:p>
      <w:pPr>
        <w:pStyle w:val="Heading3"/>
      </w:pPr>
      <w:r>
        <w:t>Missing Data Handling</w:t>
      </w:r>
    </w:p>
    <w:p>
      <w:r>
        <w:t>Patients without post-baseline tumor assessments will be censored at the date of randomization plus one day for PFS analysis. Patients who discontinue study treatment for reasons other than disease progression will continue with tumor assessments until progression, death, or study discontinuation.</w:t>
      </w:r>
    </w:p>
    <w:p>
      <w:pPr>
        <w:pStyle w:val="Heading1"/>
      </w:pPr>
      <w:r>
        <w:t>9. Safety Analyses</w:t>
      </w:r>
    </w:p>
    <w:p>
      <w:pPr>
        <w:pStyle w:val="Heading2"/>
      </w:pPr>
      <w:r>
        <w:t>Safety Analyses</w:t>
      </w:r>
    </w:p>
    <w:p>
      <w:pPr>
        <w:pStyle w:val="Heading3"/>
      </w:pPr>
      <w:r>
        <w:t>Adverse Events</w:t>
      </w:r>
    </w:p>
    <w:p>
      <w:r>
        <w:t>All adverse events (AEs) will be coded using the Medical Dictionary for Regulatory Activities (MedDRA) version 25.0. AEs will be summarized by System Organ Class (SOC) and Preferred Term (PT), displaying the number and percentage of patients experiencing each event. Severity will be graded according to the National Cancer Institute Common Terminology Criteria for Adverse Events (NCI CTCAE) version 4.0 as specified in the protocol.</w:t>
      </w:r>
    </w:p>
    <w:p>
      <w:r>
        <w:t>Treatment-emergent adverse events (TEAEs) are defined as AEs that started on or after the first dose of study medication or worsened in severity or frequency compared to the pre-treatment period. Summary tables will present:</w:t>
        <w:br/>
        <w:t>- All TEAEs by SOC and PT</w:t>
        <w:br/>
        <w:t>- Treatment-related TEAEs (assessed by investigator as related to study treatment)</w:t>
        <w:br/>
        <w:t>- Grade ≥3 TEAEs</w:t>
        <w:br/>
        <w:t>- Grade 4-5 TEAEs</w:t>
        <w:br/>
        <w:t>- TEAEs by maximum severity grade</w:t>
        <w:br/>
        <w:t>- TEAEs leading to dose modification (interruption, reduction, or delay)</w:t>
        <w:br/>
        <w:t>- TEAEs leading to permanent treatment discontinuation</w:t>
        <w:br/>
        <w:t>- TEAEs leading to death</w:t>
      </w:r>
    </w:p>
    <w:p>
      <w:r>
        <w:t>AE incidence will be summarized by treatment arm with comparisons between ipatasertib plus paclitaxel versus placebo plus paclitaxel. Patients will be counted once per PT using the maximum severity grade experienced.</w:t>
      </w:r>
    </w:p>
    <w:p>
      <w:pPr>
        <w:pStyle w:val="Heading3"/>
      </w:pPr>
      <w:r>
        <w:t>Serious Adverse Events</w:t>
      </w:r>
    </w:p>
    <w:p>
      <w:r>
        <w:t>Serious adverse events (SAEs) will be summarized separately by SOC and PT, including:</w:t>
        <w:br/>
        <w:t>- All SAEs</w:t>
        <w:br/>
        <w:t>- Treatment-related SAEs</w:t>
        <w:br/>
        <w:t>- SAEs leading to death</w:t>
        <w:br/>
        <w:t>- SAEs leading to treatment discontinuation</w:t>
      </w:r>
    </w:p>
    <w:p>
      <w:r>
        <w:t>SAE narratives will be provided for all deaths, treatment-related SAEs, and other clinically significant events as determined by the Medical Monitor.</w:t>
      </w:r>
    </w:p>
    <w:p>
      <w:pPr>
        <w:pStyle w:val="Heading3"/>
      </w:pPr>
      <w:r>
        <w:t>Laboratory Parameters</w:t>
      </w:r>
    </w:p>
    <w:p>
      <w:r>
        <w:t>Laboratory safety assessments will include hematology, clinical chemistry, coagulation parameters, and urinalysis. Analyses will include:</w:t>
      </w:r>
    </w:p>
    <w:p>
      <w:pPr>
        <w:pStyle w:val="ListBullet"/>
      </w:pPr>
      <w:r>
        <w:t>**Shift Tables**: Changes from baseline (normal/low/high) to worst post-baseline value for each parameter, based on central laboratory reference ranges</w:t>
      </w:r>
    </w:p>
    <w:p>
      <w:pPr>
        <w:pStyle w:val="ListBullet"/>
      </w:pPr>
      <w:r>
        <w:t>**Clinically Significant Laboratory Abnormalities**: Flagged based on predefined criteria including:</w:t>
      </w:r>
    </w:p>
    <w:p>
      <w:pPr>
        <w:pStyle w:val="ListBullet"/>
      </w:pPr>
      <w:r>
        <w:t>Grade 3-4 abnormalities per CTCAE v4.0</w:t>
      </w:r>
    </w:p>
    <w:p>
      <w:pPr>
        <w:pStyle w:val="ListBullet"/>
      </w:pPr>
      <w:r>
        <w:t>Values meeting potential clinical concern criteria</w:t>
      </w:r>
    </w:p>
    <w:p>
      <w:pPr>
        <w:pStyle w:val="ListBullet"/>
      </w:pPr>
      <w:r>
        <w:t>Abnormalities leading to dose modifications or discontinuation</w:t>
      </w:r>
    </w:p>
    <w:p>
      <w:pPr>
        <w:pStyle w:val="ListBullet"/>
      </w:pPr>
      <w:r>
        <w:t>**Summary Statistics**: Descriptive statistics (n, mean, standard deviation, median, range) for actual values and changes from baseline at each scheduled visit</w:t>
      </w:r>
    </w:p>
    <w:p>
      <w:pPr>
        <w:pStyle w:val="ListBullet"/>
      </w:pPr>
      <w:r>
        <w:t>**Laboratory AEs**: Laboratory abnormalities reported as AEs will be included in the overall AE summaries</w:t>
      </w:r>
    </w:p>
    <w:p>
      <w:pPr>
        <w:pStyle w:val="Heading3"/>
      </w:pPr>
      <w:r>
        <w:t>Vital Signs</w:t>
      </w:r>
    </w:p>
    <w:p>
      <w:r>
        <w:t>Vital signs assessments (blood pressure, heart rate, respiratory rate, temperature, weight) will be summarized with:</w:t>
        <w:br/>
        <w:t>- **Summary Statistics**: Descriptive statistics for actual values and changes from baseline at each visit</w:t>
        <w:br/>
        <w:t>- **Clinically Notable Values**: Defined as:</w:t>
        <w:br/>
        <w:t xml:space="preserve">  - Systolic BP ≥180 mmHg or ≤90 mmHg</w:t>
        <w:br/>
        <w:t xml:space="preserve">  - Diastolic BP ≥110 mmHg or ≤50 mmHg  </w:t>
        <w:br/>
        <w:t xml:space="preserve">  - Heart rate ≥120 bpm or ≤50 bpm</w:t>
        <w:br/>
        <w:t xml:space="preserve">  - Temperature ≥38.5°C</w:t>
      </w:r>
    </w:p>
    <w:p>
      <w:pPr>
        <w:pStyle w:val="ListBullet"/>
      </w:pPr>
      <w:r>
        <w:t>**Shift Tables**: Changes from baseline normal/abnormal status to post-baseline values where clinically relevant</w:t>
      </w:r>
    </w:p>
    <w:p>
      <w:pPr>
        <w:pStyle w:val="Heading3"/>
      </w:pPr>
      <w:r>
        <w:t>Treatment Exposure</w:t>
      </w:r>
    </w:p>
    <w:p>
      <w:r>
        <w:t>Treatment exposure will be summarized for both ipatasertib/placebo and paclitaxel, including:</w:t>
        <w:br/>
        <w:t>- **Duration of Treatment**: Time from first dose to last dose</w:t>
        <w:br/>
        <w:t>- **Number of Treatment Cycles**: Completed and planned cycles</w:t>
        <w:br/>
        <w:t>- **Cumulative Dose**: Total dose received for each study medication</w:t>
        <w:br/>
        <w:t>- **Relative Dose Intensity**: Ratio of actual dose intensity to planned dose intensity, expressed as percentage</w:t>
        <w:br/>
        <w:t>- **Dose Modifications**: Frequency and reasons for dose interruptions, reductions, and delays</w:t>
        <w:br/>
        <w:t>- **Treatment Compliance**: For oral study medication (ipatasertib/placebo)</w:t>
        <w:br/>
        <w:t>- **Premature Discontinuation**: Reasons for early treatment discontinuation</w:t>
      </w:r>
    </w:p>
    <w:p>
      <w:r>
        <w:t>Exposure-adjusted incidence rates will be calculated for key safety endpoints using patient-years of exposure.</w:t>
      </w:r>
    </w:p>
    <w:p>
      <w:pPr>
        <w:pStyle w:val="Heading3"/>
      </w:pPr>
      <w:r>
        <w:t>Safety Analysis Populations</w:t>
      </w:r>
    </w:p>
    <w:p>
      <w:pPr>
        <w:pStyle w:val="ListBullet"/>
      </w:pPr>
      <w:r>
        <w:t>**Safety-Evaluable Population**: All randomized patients who received at least one dose of any study medication</w:t>
      </w:r>
    </w:p>
    <w:p>
      <w:pPr>
        <w:pStyle w:val="ListBullet"/>
      </w:pPr>
      <w:r>
        <w:t>**Biomarker-Evaluable Safety Population**: Safety-evaluable patients with confirmed PIK3CA/AKT1/PTEN alterations</w:t>
      </w:r>
    </w:p>
    <w:p>
      <w:r>
        <w:t>All safety analyses will be performed on the Safety-Evaluable Population unless otherwise specified. Subgroup analyses may be performed by biomarker status (PIK3CA/AKT1/PTEN-altered vs. non-altered) and breast cancer subtype (triple-negative vs. hormone receptor-positive/HER2-negative).</w:t>
      </w:r>
    </w:p>
    <w:p>
      <w:pPr>
        <w:pStyle w:val="Heading1"/>
      </w:pPr>
      <w:r>
        <w:t>10. Handling of Missing Data</w:t>
      </w:r>
    </w:p>
    <w:p>
      <w:pPr>
        <w:pStyle w:val="Heading2"/>
      </w:pPr>
      <w:r>
        <w:t>Missing Data Handling</w:t>
      </w:r>
    </w:p>
    <w:p>
      <w:pPr>
        <w:pStyle w:val="Heading3"/>
      </w:pPr>
      <w:r>
        <w:t>Primary Approach</w:t>
      </w:r>
    </w:p>
    <w:p>
      <w:r>
        <w:t>The primary analysis will assume missing data are missing at random (MAR) and will utilize a Cox proportional hazards model with robust variance estimation for progression-free survival (PFS) analysis. For patients without documented disease progression or death, PFS will be censored at the date of the last adequate tumor assessment. This approach naturally accommodates the time-to-event structure of the primary endpoint while handling informative censoring under the MAR assumption.</w:t>
      </w:r>
    </w:p>
    <w:p>
      <w:r>
        <w:t>For secondary time-to-event endpoints (overall survival, duration of response), a similar censoring approach will be applied. For binary endpoints (objective response rate, clinical benefit rate), patients with missing tumor assessments will be classified as non-responders in the primary analysis.</w:t>
      </w:r>
    </w:p>
    <w:p>
      <w:pPr>
        <w:pStyle w:val="Heading3"/>
      </w:pPr>
      <w:r>
        <w:t>Sensitivity Analyses</w:t>
      </w:r>
    </w:p>
    <w:p>
      <w:r>
        <w:t>The robustness of the primary efficacy conclusions will be evaluated through multiple sensitivity analyses, particularly when missing data exceeds 10% for any treatment arm or when differential missing data rates between arms exceed 5%.</w:t>
      </w:r>
    </w:p>
    <w:p>
      <w:pPr>
        <w:pStyle w:val="Heading4"/>
      </w:pPr>
      <w:r>
        <w:t>1. Multiple Imputation for Binary Endpoints</w:t>
        <w:br/>
        <w:t>Missing response assessments will be imputed using multiple imputation (m=100 imputations) under the MAR assumption. The imputation model will include treatment assignment, baseline tumor measurements, stratification factors, and other relevant baseline covariates. Rubin's rules will be applied to combine results across imputations.</w:t>
      </w:r>
    </w:p>
    <w:p>
      <w:pPr>
        <w:pStyle w:val="Heading4"/>
      </w:pPr>
      <w:r>
        <w:t>2. Tipping Point Analysis</w:t>
        <w:br/>
        <w:t>For objective response rate, a tipping point analysis will systematically vary the probability of response for patients with missing data in both treatment arms. The analysis will determine the missing data response rate at which the treatment effect is no longer statistically significant, thereby assessing the robustness of conclusions to MNAR assumptions.</w:t>
      </w:r>
    </w:p>
    <w:p>
      <w:pPr>
        <w:pStyle w:val="Heading4"/>
      </w:pPr>
      <w:r>
        <w:t>3. Jump to Reference Imputation</w:t>
        <w:br/>
        <w:t>Patients who discontinue study treatment due to adverse events or patient/physician decision will be assumed to have outcomes similar to patients in the control arm (paclitaxel alone). This conservative approach addresses potential informative missingness related to treatment tolerability.</w:t>
      </w:r>
    </w:p>
    <w:p>
      <w:pPr>
        <w:pStyle w:val="Heading4"/>
      </w:pPr>
      <w:r>
        <w:t>4. Pattern Mixture Models</w:t>
        <w:br/>
        <w:t>Missing data patterns will be classified, and treatment effects will be estimated within each pattern. Results will be combined using appropriate weights to assess sensitivity to MNAR mechanisms, particularly for patients who discontinue due to disease progression versus other reasons.</w:t>
      </w:r>
    </w:p>
    <w:p>
      <w:pPr>
        <w:pStyle w:val="Heading3"/>
      </w:pPr>
      <w:r>
        <w:t>Handling of Intercurrent Events</w:t>
      </w:r>
    </w:p>
    <w:p>
      <w:r>
        <w:t>Following ICH E9(R1) estimand framework principles:</w:t>
      </w:r>
    </w:p>
    <w:p>
      <w:pPr>
        <w:pStyle w:val="Heading4"/>
      </w:pPr>
      <w:r>
        <w:t>Treatment Discontinuation Strategy</w:t>
        <w:br/>
        <w:t>- **Due to adverse events**: Primary analysis will use treatment policy strategy (continue follow-up); sensitivity analysis will use jump to reference</w:t>
        <w:br/>
        <w:t>- **Due to disease progression**: Censored at last adequate assessment (composite strategy)</w:t>
        <w:br/>
        <w:t>- **Due to patient withdrawal**: Treatment policy strategy with appropriate censoring</w:t>
      </w:r>
    </w:p>
    <w:p>
      <w:pPr>
        <w:pStyle w:val="Heading4"/>
      </w:pPr>
      <w:r>
        <w:t xml:space="preserve">Subsequent Anti-cancer Therapy Strategy  </w:t>
        <w:br/>
        <w:t>- **Primary analysis**: Treatment policy strategy (ignore subsequent therapy)</w:t>
        <w:br/>
        <w:t>- **Sensitivity analysis**: Hypothetical strategy censoring at initiation of subsequent therapy</w:t>
      </w:r>
    </w:p>
    <w:p>
      <w:pPr>
        <w:pStyle w:val="Heading4"/>
      </w:pPr>
      <w:r>
        <w:t>Death Without Prior Progression</w:t>
        <w:br/>
        <w:t>- Counted as PFS events in primary analysis</w:t>
        <w:br/>
        <w:t>- Sensitivity analysis treating as competing risk</w:t>
      </w:r>
    </w:p>
    <w:p>
      <w:pPr>
        <w:pStyle w:val="Heading3"/>
      </w:pPr>
      <w:r>
        <w:t>Missing Data Monitoring Thresholds</w:t>
      </w:r>
    </w:p>
    <w:p>
      <w:r>
        <w:t>Sensitivity analyses will be mandatory when:</w:t>
        <w:br/>
        <w:t>- Overall missing data rate exceeds 15% in either treatment arm</w:t>
        <w:br/>
        <w:t>- Differential missing data rates between arms exceed 10%</w:t>
        <w:br/>
        <w:t>- Missing data due to adverse events exceeds 20% in the experimental arm</w:t>
        <w:br/>
        <w:t>- Missing data patterns differ substantially between treatment arms (&gt;15% difference in any category)</w:t>
      </w:r>
    </w:p>
    <w:p>
      <w:pPr>
        <w:pStyle w:val="Heading3"/>
      </w:pPr>
      <w:r>
        <w:t>Documentation Requirements</w:t>
      </w:r>
    </w:p>
    <w:p>
      <w:r>
        <w:t>All missing data analyses will document:</w:t>
        <w:br/>
        <w:t>- Reasons for missingness by treatment arm and time point</w:t>
        <w:br/>
        <w:t>- Missing data patterns and their relationship to baseline characteristics</w:t>
        <w:br/>
        <w:t>- Assumptions underlying each sensitivity analysis</w:t>
        <w:br/>
        <w:t>- Impact of missing data assumptions on clinical interpretation of results</w:t>
      </w:r>
    </w:p>
    <w:p>
      <w:r>
        <w:t>The totality of evidence from the primary analysis and sensitivity analyses will inform the overall clinical conclusions regarding treatment efficacy.</w:t>
      </w:r>
    </w:p>
    <w:p>
      <w:pPr>
        <w:pStyle w:val="Heading1"/>
      </w:pPr>
      <w:r>
        <w:t>11. Interim Analyses</w:t>
      </w:r>
    </w:p>
    <w:p>
      <w:pPr>
        <w:pStyle w:val="Heading2"/>
      </w:pPr>
      <w:r>
        <w:t>Interim Analyses</w:t>
      </w:r>
    </w:p>
    <w:p>
      <w:pPr>
        <w:pStyle w:val="Heading3"/>
      </w:pPr>
      <w:r>
        <w:t>Timing and Frequency</w:t>
        <w:br/>
        <w:t>Two interim analyses are planned for this study:</w:t>
      </w:r>
    </w:p>
    <w:p>
      <w:r>
        <w:t>1. **Safety Interim Analysis**: Conducted after approximately 100 patients in each cohort have been enrolled and followed for a minimum of 3 months, focusing on safety and tolerability assessments.</w:t>
      </w:r>
    </w:p>
    <w:p>
      <w:r>
        <w:t>2. **Efficacy Interim Analysis**: Planned when approximately 60% of the required progression-free survival (PFS) events have been observed for the primary endpoint analysis.</w:t>
      </w:r>
    </w:p>
    <w:p>
      <w:r>
        <w:t>An optional additional interim analysis may be conducted at the discretion of the Data Safety Monitoring Board (DSMB) if warranted by emerging safety or efficacy data.</w:t>
      </w:r>
    </w:p>
    <w:p>
      <w:pPr>
        <w:pStyle w:val="Heading3"/>
      </w:pPr>
      <w:r>
        <w:t>Alpha-Spending Function</w:t>
        <w:br/>
        <w:t>The Lan-DeMets alpha-spending function with O'Brien-Fleming-type boundaries will be used to preserve the overall Type I error rate at 0.05 (two-sided) across all interim and final analyses. This approach provides conservative early stopping boundaries while preserving most of the alpha for the final analysis.</w:t>
      </w:r>
    </w:p>
    <w:p>
      <w:pPr>
        <w:pStyle w:val="Heading3"/>
      </w:pPr>
      <w:r>
        <w:t>Stopping Boundaries</w:t>
      </w:r>
    </w:p>
    <w:p>
      <w:pPr>
        <w:pStyle w:val="Heading4"/>
      </w:pPr>
      <w:r>
        <w:t>Efficacy Boundaries</w:t>
        <w:br/>
        <w:t>- The study may be stopped early for overwhelming efficacy if the observed treatment effect for PFS crosses the pre-specified O'Brien-Fleming efficacy boundary at the interim analysis</w:t>
        <w:br/>
        <w:t>- Efficacy boundaries will be calculated separately for each cohort (Cohort A: Triple-negative breast cancer; Cohort B: Hormone receptor-positive, HER2-negative breast cancer; Cohort C as applicable)</w:t>
      </w:r>
    </w:p>
    <w:p>
      <w:pPr>
        <w:pStyle w:val="Heading4"/>
      </w:pPr>
      <w:r>
        <w:t>Futility Boundaries</w:t>
        <w:br/>
        <w:t>- Non-binding futility boundaries will be calculated using the Lan-DeMets beta-spending function to assess conditional power</w:t>
        <w:br/>
        <w:t>- Futility stopping will be considered if the conditional power for detecting the hypothesized treatment effect falls below 20% at the interim analysis</w:t>
        <w:br/>
        <w:t>- Final decisions regarding futility stopping will be at the discretion of the DSMB</w:t>
      </w:r>
    </w:p>
    <w:p>
      <w:pPr>
        <w:pStyle w:val="Heading3"/>
      </w:pPr>
      <w:r>
        <w:t>Data Safety Monitoring Board (DSMB)</w:t>
        <w:br/>
        <w:t>An independent Data Safety Monitoring Board will:</w:t>
        <w:br/>
        <w:t>- Review unblinded safety and efficacy data at each planned interim analysis</w:t>
        <w:br/>
        <w:t>- Assess benefit-risk profile of ipatasertib in combination with paclitaxel</w:t>
        <w:br/>
        <w:t>- Provide recommendations regarding study continuation, modification, or termination</w:t>
        <w:br/>
        <w:t>- Monitor for any unexpected safety signals or adverse events of special interest</w:t>
        <w:br/>
        <w:t>- Evaluate futility analyses and conditional power calculations</w:t>
      </w:r>
    </w:p>
    <w:p>
      <w:pPr>
        <w:pStyle w:val="Heading3"/>
      </w:pPr>
      <w:r>
        <w:t>Statistical Software</w:t>
        <w:br/>
        <w:t>Boundary calculations and interim analysis statistical assessments will be performed using EAST 6.5 (Cytel Inc.) or equivalent validated statistical software capable of group sequential design calculations.</w:t>
      </w:r>
    </w:p>
    <w:p>
      <w:pPr>
        <w:pStyle w:val="Heading3"/>
      </w:pPr>
      <w:r>
        <w:t>Analysis Populations</w:t>
        <w:br/>
        <w:t>Interim efficacy analyses will be conducted on the Intent-to-Treat (ITT) population, while safety analyses will be performed on the Safety population (all patients who received at least one dose of study treatment).</w:t>
      </w:r>
    </w:p>
    <w:p>
      <w:pPr>
        <w:pStyle w:val="Heading1"/>
      </w:pPr>
      <w:r>
        <w:t>12. Subgroup Analyses</w:t>
      </w:r>
    </w:p>
    <w:p>
      <w:pPr>
        <w:pStyle w:val="Heading2"/>
      </w:pPr>
      <w:r>
        <w:t>Subgroup Analyses</w:t>
      </w:r>
    </w:p>
    <w:p>
      <w:pPr>
        <w:pStyle w:val="Heading3"/>
      </w:pPr>
      <w:r>
        <w:t>Pre-specified Subgroups</w:t>
      </w:r>
    </w:p>
    <w:p>
      <w:r>
        <w:t>The following subgroups are pre-specified for analysis based on the study population characteristics and biomarker-driven design:</w:t>
      </w:r>
    </w:p>
    <w:p>
      <w:r>
        <w:t>**Biomarker-Based Subgroups:**</w:t>
        <w:br/>
        <w:t>- PIK3CA/AKT1-activating mutations: Present vs Absent</w:t>
        <w:br/>
        <w:t>- PTEN alterations (in absence of PIK3CA/AKT1-activating mutations): Present vs Absent</w:t>
        <w:br/>
        <w:t>- Combined biomarker status: PIK3CA/AKT1-altered vs PTEN-altered vs Wild-type</w:t>
      </w:r>
    </w:p>
    <w:p>
      <w:r>
        <w:t>**Disease Characteristics:**</w:t>
        <w:br/>
        <w:t>- Breast cancer subtype: Triple-negative breast cancer (TNBC) vs Hormone receptor-positive, HER2-negative</w:t>
        <w:br/>
        <w:t>- Disease stage: Locally advanced vs Metastatic</w:t>
        <w:br/>
        <w:t>- Visceral disease: Present vs Absent</w:t>
        <w:br/>
        <w:t>- Number of metastatic sites: ≤2 vs &gt;2</w:t>
      </w:r>
    </w:p>
    <w:p>
      <w:r>
        <w:t>**Patient Demographics and Clinical Factors:**</w:t>
        <w:br/>
        <w:t>- Age: &lt;65 years vs ≥65 years</w:t>
        <w:br/>
        <w:t>- ECOG Performance Status: 0 vs 1</w:t>
        <w:br/>
        <w:t>- Geographic region: North America vs Europe vs Asia vs Rest of World</w:t>
        <w:br/>
        <w:t>- Race: White vs Asian vs Black vs Other</w:t>
        <w:br/>
        <w:t>- Menopausal status: Pre/perimenopausal vs Postmenopausal</w:t>
      </w:r>
    </w:p>
    <w:p>
      <w:r>
        <w:t>**Prior Treatment History:**</w:t>
        <w:br/>
        <w:t>- Prior chemotherapy in metastatic setting: Yes vs No</w:t>
        <w:br/>
        <w:t>- Prior taxane therapy: Yes vs No</w:t>
        <w:br/>
        <w:t>- Number of prior therapies for advanced disease: 0 vs 1 vs ≥2</w:t>
      </w:r>
    </w:p>
    <w:p>
      <w:pPr>
        <w:pStyle w:val="Heading3"/>
      </w:pPr>
      <w:r>
        <w:t>Statistical Methods</w:t>
      </w:r>
    </w:p>
    <w:p>
      <w:r>
        <w:t>For each pre-specified subgroup, progression-free survival (PFS) and overall survival (OS) will be analyzed using stratified Cox proportional hazards models, consistent with the primary analysis methodology. The models will include:</w:t>
      </w:r>
    </w:p>
    <w:p>
      <w:pPr>
        <w:pStyle w:val="ListBullet"/>
      </w:pPr>
      <w:r>
        <w:t>Treatment as the primary factor</w:t>
      </w:r>
    </w:p>
    <w:p>
      <w:pPr>
        <w:pStyle w:val="ListBullet"/>
      </w:pPr>
      <w:r>
        <w:t>Stratification factors as specified in the primary analysis</w:t>
      </w:r>
    </w:p>
    <w:p>
      <w:pPr>
        <w:pStyle w:val="ListBullet"/>
      </w:pPr>
      <w:r>
        <w:t>Treatment-by-subgroup interaction terms</w:t>
      </w:r>
    </w:p>
    <w:p>
      <w:r>
        <w:t>Hazard ratios, 95% confidence intervals, and p-values will be calculated for each subgroup comparison.</w:t>
      </w:r>
    </w:p>
    <w:p>
      <w:r>
        <w:t>For binary endpoints (objective response rate, clinical benefit rate), logistic regression models will be used with treatment-by-subgroup interaction terms.</w:t>
      </w:r>
    </w:p>
    <w:p>
      <w:pPr>
        <w:pStyle w:val="Heading3"/>
      </w:pPr>
      <w:r>
        <w:t>Interaction Tests</w:t>
      </w:r>
    </w:p>
    <w:p>
      <w:r>
        <w:t>Treatment-by-subgroup interaction p-values will be calculated using likelihood ratio tests comparing models with and without the interaction term.</w:t>
      </w:r>
    </w:p>
    <w:p>
      <w:pPr>
        <w:pStyle w:val="ListBullet"/>
      </w:pPr>
      <w:r>
        <w:t>A p-value &lt;0.10 will be considered indicative of potential treatment effect heterogeneity across subgroups</w:t>
      </w:r>
    </w:p>
    <w:p>
      <w:pPr>
        <w:pStyle w:val="ListBullet"/>
      </w:pPr>
      <w:r>
        <w:t>A p-value &lt;0.05 will be considered suggestive of differential treatment effect</w:t>
      </w:r>
    </w:p>
    <w:p>
      <w:pPr>
        <w:pStyle w:val="Heading3"/>
      </w:pPr>
      <w:r>
        <w:t>Presentation</w:t>
      </w:r>
    </w:p>
    <w:p>
      <w:r>
        <w:t>Results will be presented as:</w:t>
      </w:r>
    </w:p>
    <w:p>
      <w:r>
        <w:t>**Forest Plots:** Displaying hazard ratios and 95% confidence intervals for time-to-event endpoints for each subgroup level, along with:</w:t>
        <w:br/>
        <w:t>- Number of events and patients in each treatment arm</w:t>
        <w:br/>
        <w:t>- Treatment-by-subgroup interaction p-values</w:t>
        <w:br/>
        <w:t>- Overall treatment effect estimate</w:t>
      </w:r>
    </w:p>
    <w:p>
      <w:r>
        <w:t>**Summary Tables:** Showing treatment effect estimates, confidence intervals, and p-values for each subgroup analysis</w:t>
      </w:r>
    </w:p>
    <w:p>
      <w:r>
        <w:t>**Kaplan-Meier Curves:** May be provided for selected clinically relevant subgroups showing substantial interaction effects</w:t>
      </w:r>
    </w:p>
    <w:p>
      <w:pPr>
        <w:pStyle w:val="Heading3"/>
      </w:pPr>
      <w:r>
        <w:t>Special Considerations</w:t>
      </w:r>
    </w:p>
    <w:p>
      <w:r>
        <w:t>**Biomarker Subgroups:** Given the biomarker-driven design, particular attention will be paid to subgroup analyses by PIK3CA/AKT1 and PTEN alteration status, as these represent the primary target population for ipatasertib.</w:t>
      </w:r>
    </w:p>
    <w:p>
      <w:r>
        <w:t>**Cohort-Specific Analyses:** Subgroup analyses will be performed within each cohort (TNBC and HR+/HER2- breast cancer) as well as in the overall population, where appropriate.</w:t>
      </w:r>
    </w:p>
    <w:p>
      <w:pPr>
        <w:pStyle w:val="Heading3"/>
      </w:pPr>
      <w:r>
        <w:t>Interpretation Note</w:t>
      </w:r>
    </w:p>
    <w:p>
      <w:r>
        <w:t>**Exploratory Nature:** All subgroup analyses are exploratory in nature and will not be adjusted for multiplicity. Results should be interpreted with caution, particularly for subgroups with small sample sizes. These analyses are intended to generate hypotheses for future research and to explore potential heterogeneity in treatment effects rather than to provide definitive evidence of differential efficacy across subgroups.</w:t>
      </w:r>
    </w:p>
    <w:p>
      <w:r>
        <w:t>**Clinical Context:** Subgroup findings will be interpreted within the context of the overall study results and existing clinical knowledge, with particular emphasis on biologically plausible differential effects based on the mechanism of action of ipatasertib.</w:t>
      </w:r>
    </w:p>
    <w:p>
      <w:r>
        <w:br w:type="page"/>
      </w:r>
    </w:p>
    <w:p>
      <w:pPr>
        <w:pStyle w:val="Heading1"/>
      </w:pPr>
      <w:r>
        <w:t>Appendices</w:t>
      </w:r>
    </w:p>
    <w:p>
      <w:r>
        <w:t>A. List of Abbreviations</w:t>
      </w:r>
    </w:p>
    <w:p>
      <w:r>
        <w:t>B. Shell Tables and Figures</w:t>
      </w:r>
    </w:p>
    <w:p>
      <w:r>
        <w:t>C. Programming Specifications</w:t>
      </w:r>
    </w:p>
    <w:p>
      <w:r>
        <w:br w:type="page"/>
      </w:r>
    </w:p>
    <w:p>
      <w:pPr>
        <w:pStyle w:val="Heading1"/>
      </w:pPr>
      <w:r>
        <w:t>Document Quality Metrics</w:t>
      </w:r>
    </w:p>
    <w:p>
      <w:r>
        <w:t>Validation Score: 100/100</w:t>
      </w:r>
    </w:p>
    <w:p>
      <w:r>
        <w:t>Generated: 2025-12-26T00:13:48.069134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