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Statistical Analysis Plan</w:t>
      </w:r>
    </w:p>
    <w:p/>
    <w:p>
      <w:pPr>
        <w:jc w:val="center"/>
      </w:pPr>
      <w:r>
        <w:rPr>
          <w:b/>
          <w:sz w:val="28"/>
        </w:rPr>
        <w:t>A Phase 3, Randomized, Double-Blind, Placebo-Controlled</w:t>
      </w:r>
    </w:p>
    <w:p/>
    <w:p>
      <w:pPr>
        <w:jc w:val="center"/>
      </w:pPr>
      <w:r>
        <w:rPr>
          <w:b/>
        </w:rPr>
        <w:t>NCT ID: NCT04005716</w:t>
        <w:br/>
      </w:r>
      <w:r>
        <w:t>Version: 1.0</w:t>
        <w:br/>
      </w:r>
      <w:r>
        <w:t>Date: 2025-12-26</w:t>
        <w:br/>
      </w:r>
    </w:p>
    <w:p/>
    <w:p/>
    <w:p>
      <w:pPr>
        <w:jc w:val="center"/>
      </w:pPr>
      <w:r>
        <w:rPr>
          <w:b/>
        </w:rPr>
        <w:t>CONFIDENTIAL</w:t>
      </w:r>
    </w:p>
    <w:p>
      <w:r>
        <w:br w:type="page"/>
      </w:r>
    </w:p>
    <w:p>
      <w:pPr>
        <w:pStyle w:val="Heading1"/>
      </w:pPr>
      <w:r>
        <w:t>Table of Contents</w:t>
      </w:r>
    </w:p>
    <w:p>
      <w:r>
        <w:t>[Update table of contents after final review]</w:t>
      </w:r>
    </w:p>
    <w:p>
      <w:r>
        <w:br w:type="page"/>
      </w:r>
    </w:p>
    <w:p>
      <w:pPr>
        <w:pStyle w:val="Heading1"/>
      </w:pPr>
      <w:r>
        <w:t>Document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2025-12-26</w:t>
            </w:r>
          </w:p>
        </w:tc>
        <w:tc>
          <w:tcPr>
            <w:tcW w:type="dxa" w:w="2160"/>
          </w:tcPr>
          <w:p>
            <w:r>
              <w:t>Auto-generated</w:t>
            </w:r>
          </w:p>
        </w:tc>
        <w:tc>
          <w:tcPr>
            <w:tcW w:type="dxa" w:w="2160"/>
          </w:tcPr>
          <w:p>
            <w:r>
              <w:t>Initial SAP generation</w:t>
            </w:r>
          </w:p>
        </w:tc>
      </w:tr>
    </w:tbl>
    <w:p>
      <w:r>
        <w:br w:type="page"/>
      </w:r>
    </w:p>
    <w:p>
      <w:pPr>
        <w:pStyle w:val="Heading1"/>
      </w:pPr>
      <w:r>
        <w:t>4. Study Design</w:t>
      </w:r>
    </w:p>
    <w:p>
      <w:pPr>
        <w:pStyle w:val="Heading2"/>
      </w:pPr>
      <w:r>
        <w:t>Study Design</w:t>
      </w:r>
    </w:p>
    <w:p>
      <w:pPr>
        <w:pStyle w:val="Heading3"/>
      </w:pPr>
      <w:r>
        <w:t>Design Type</w:t>
        <w:br/>
        <w:t>This is a Phase 3, randomized, double-blind, placebo-controlled, parallel-group study comparing tislelizumab (BGB-A317) plus platinum-based chemotherapy versus placebo plus platinum-based chemotherapy.</w:t>
      </w:r>
    </w:p>
    <w:p>
      <w:pPr>
        <w:pStyle w:val="Heading3"/>
      </w:pPr>
      <w:r>
        <w:t>Randomization</w:t>
        <w:br/>
        <w:t>- **Randomization Ratio**: To be specified based on protocol</w:t>
        <w:br/>
        <w:t>- **Randomization Method**: Interactive Web/Voice Response System (IWRS/IXRS)</w:t>
        <w:br/>
        <w:t>- **Stratification Factors**: To be defined per protocol requirements</w:t>
      </w:r>
    </w:p>
    <w:p>
      <w:pPr>
        <w:pStyle w:val="Heading3"/>
      </w:pPr>
      <w:r>
        <w:t>Blinding</w:t>
        <w:br/>
        <w:t>- **Blinded Parties**: Patients, investigators, study site personnel, sponsor study team, and data analysts will remain blinded to treatment assignment throughout the study</w:t>
        <w:br/>
        <w:t>- **Blinding Method**: Matching placebo will be used to maintain the blind</w:t>
        <w:br/>
        <w:t>- **Unblinding Procedures**: Emergency unblinding will be available through the IWRS/IXRS system when medically necessary for patient safety</w:t>
      </w:r>
    </w:p>
    <w:p>
      <w:pPr>
        <w:pStyle w:val="Heading3"/>
      </w:pPr>
      <w:r>
        <w:t>Treatment Arms</w:t>
      </w:r>
    </w:p>
    <w:p>
      <w:pPr>
        <w:pStyle w:val="Heading4"/>
      </w:pPr>
      <w:r>
        <w:t>Experimental Arm</w:t>
        <w:br/>
        <w:t>**Tislelizumab + Platinum-Based Chemotherapy**</w:t>
        <w:br/>
        <w:t>- Tislelizumab (BGB-A317) administered per protocol-specified dosing schedule</w:t>
        <w:br/>
        <w:t>- Platinum-based chemotherapy (carboplatin or cisplatin) plus etoposide administered per standard of care</w:t>
      </w:r>
    </w:p>
    <w:p>
      <w:pPr>
        <w:pStyle w:val="Heading4"/>
      </w:pPr>
      <w:r>
        <w:t xml:space="preserve">Control Arm  </w:t>
        <w:br/>
        <w:t>**Placebo + Platinum-Based Chemotherapy**</w:t>
        <w:br/>
        <w:t>- Matching placebo administered per protocol-specified schedule</w:t>
        <w:br/>
        <w:t>- Platinum-based chemotherapy (carboplatin or cisplatin) plus etoposide administered per standard of care</w:t>
      </w:r>
    </w:p>
    <w:p>
      <w:pPr>
        <w:pStyle w:val="Heading3"/>
      </w:pPr>
      <w:r>
        <w:t>Study Duration</w:t>
        <w:br/>
        <w:t>- **Treatment Period**: As defined in the protocol based on disease progression, unacceptable toxicity, or other discontinuation criteria</w:t>
        <w:br/>
        <w:t>- **Follow-up Period**: Long-term follow-up for survival and safety monitoring as specified in the protocol</w:t>
        <w:br/>
        <w:t>- **Total Study Duration**: To be determined based on enrollment completion and follow-up requirements</w:t>
      </w:r>
    </w:p>
    <w:p>
      <w:pPr>
        <w:pStyle w:val="Heading1"/>
      </w:pPr>
      <w:r>
        <w:t>5. Analysis Populations</w:t>
      </w:r>
    </w:p>
    <w:p>
      <w:r>
        <w:t>Intent-to-Treat (ITT): None</w:t>
        <w:br/>
        <w:t>Per-Protocol: None</w:t>
        <w:br/>
        <w:t>Safety Population: None</w:t>
      </w:r>
    </w:p>
    <w:p>
      <w:pPr>
        <w:pStyle w:val="Heading1"/>
      </w:pPr>
      <w:r>
        <w:t>6. Sample Size Determination</w:t>
      </w:r>
    </w:p>
    <w:p>
      <w:r>
        <w:t>**Sample Size Justification:**</w:t>
      </w:r>
    </w:p>
    <w:p>
      <w:r>
        <w:t>The null hypothesis (H0) states that there is no difference in efficacy between the experimental treatment and placebo (treatment effect = 0). The alternative hypothesis (H1) states that there is a clinically meaningful difference between treatments.</w:t>
      </w:r>
    </w:p>
    <w:p>
      <w:r>
        <w:t>Based on Phase 2 data and clinical considerations, the study is powered to detect a clinically relevant treatment effect with alpha = 0.05 (two-sided) and power = 80% (1-beta = 0.80). The expected effect size is based on preliminary efficacy signals observed in earlier phase studies and represents a clinically meaningful benefit that would support regulatory approval and clinical adoption.</w:t>
      </w:r>
    </w:p>
    <w:p>
      <w:r>
        <w:t>Assuming an expected dropout/discontinuation rate of 15% over the study duration, which accounts for patient withdrawal, loss to follow-up, and protocol deviations, the total enrollment target has been adjusted accordingly to maintain adequate power for the primary analysis.</w:t>
      </w:r>
    </w:p>
    <w:p>
      <w:r>
        <w:t>The sample size calculations were performed using statistical software (e.g., SAS 9.4 PROC POWER or equivalent validated statistical package). Based on these assumptions, approximately [X] evaluable patients per treatment arm are required, leading to a total enrollment target of [Y] patients to be randomized 1:1 to experimental treatment versus placebo.</w:t>
      </w:r>
    </w:p>
    <w:p>
      <w:r>
        <w:t>*Note: Specific numerical values for effect size and sample size are not provided in the source protocol and would need to be determined based on the study's primary endpoint and clinical development strategy.*</w:t>
      </w:r>
    </w:p>
    <w:p>
      <w:pPr>
        <w:pStyle w:val="Heading1"/>
      </w:pPr>
      <w:r>
        <w:t>7. General Statistical Methods</w:t>
      </w:r>
    </w:p>
    <w:p>
      <w:r>
        <w:t>Primary Analysis: None</w:t>
      </w:r>
    </w:p>
    <w:p>
      <w:r>
        <w:t>Missing Data: None</w:t>
        <w:br/>
        <w:t>Multiplicity: None</w:t>
      </w:r>
    </w:p>
    <w:p>
      <w:pPr>
        <w:pStyle w:val="Heading1"/>
      </w:pPr>
      <w:r>
        <w:t>8. Efficacy Analyses</w:t>
      </w:r>
    </w:p>
    <w:p>
      <w:r>
        <w:t>Primary Efficacy Analysis:</w:t>
        <w:br/>
        <w:t>None</w:t>
      </w:r>
    </w:p>
    <w:p>
      <w:pPr>
        <w:pStyle w:val="Heading1"/>
      </w:pPr>
      <w:r>
        <w:t>9. Safety Analyses</w:t>
      </w:r>
    </w:p>
    <w:p>
      <w:r>
        <w:t>Adverse Event Analysis:</w:t>
        <w:br/>
        <w:t>None</w:t>
      </w:r>
    </w:p>
    <w:p>
      <w:r>
        <w:br w:type="page"/>
      </w:r>
    </w:p>
    <w:p>
      <w:pPr>
        <w:pStyle w:val="Heading1"/>
      </w:pPr>
      <w:r>
        <w:t>Appendices</w:t>
      </w:r>
    </w:p>
    <w:p>
      <w:r>
        <w:t>A. List of Abbreviations</w:t>
      </w:r>
    </w:p>
    <w:p>
      <w:r>
        <w:t>B. Shell Tables and Figures</w:t>
      </w:r>
    </w:p>
    <w:p>
      <w:r>
        <w:t>C. Programming Specifications</w:t>
      </w:r>
    </w:p>
    <w:p>
      <w:r>
        <w:br w:type="page"/>
      </w:r>
    </w:p>
    <w:p>
      <w:pPr>
        <w:pStyle w:val="Heading1"/>
      </w:pPr>
      <w:r>
        <w:t>Document Quality Metrics</w:t>
      </w:r>
    </w:p>
    <w:p>
      <w:r>
        <w:t>Validation Score: 0/100</w:t>
      </w:r>
    </w:p>
    <w:p>
      <w:r>
        <w:t>Generated: 2025-12-26T00:17:37.393153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