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Statistical Analysis Plan</w:t>
      </w:r>
    </w:p>
    <w:p/>
    <w:p>
      <w:pPr>
        <w:jc w:val="center"/>
      </w:pPr>
      <w:r>
        <w:rPr>
          <w:b/>
          <w:sz w:val="28"/>
        </w:rPr>
        <w:t>EMERGE-201: A phase 2, multicenter, open-label study of lurbinectedin efficacy and safety in participants with advanced or metastatic solid tumors Protocol (and Amendment) Number: JZP712-201-02 Compound: Lurbinectedin (JZP712, also known as PM01183) Brief Title: Lurbinectedin monotherapy in participants with advanced or metastatic solid tumors Study Phase: Phase 2 Acronym: EMERGE-201 Sponsor Name: Jazz Pharmaceuticals, Inc.</w:t>
      </w:r>
    </w:p>
    <w:p/>
    <w:p>
      <w:pPr>
        <w:jc w:val="center"/>
      </w:pPr>
      <w:r>
        <w:rPr>
          <w:b/>
        </w:rPr>
        <w:t>NCT ID: NCT05126433</w:t>
        <w:br/>
      </w:r>
      <w:r>
        <w:t>Version: 1.0</w:t>
        <w:br/>
      </w:r>
      <w:r>
        <w:t>Date: 2025-12-26</w:t>
        <w:br/>
      </w:r>
    </w:p>
    <w:p/>
    <w:p/>
    <w:p>
      <w:pPr>
        <w:jc w:val="center"/>
      </w:pPr>
      <w:r>
        <w:rPr>
          <w:b/>
        </w:rPr>
        <w:t>CONFIDENTIAL</w:t>
      </w:r>
    </w:p>
    <w:p>
      <w:r>
        <w:br w:type="page"/>
      </w:r>
    </w:p>
    <w:p>
      <w:pPr>
        <w:pStyle w:val="Heading1"/>
      </w:pPr>
      <w:r>
        <w:t>Table of Contents</w:t>
      </w:r>
    </w:p>
    <w:p>
      <w:r>
        <w:t>[Update table of contents after final review]</w:t>
      </w:r>
    </w:p>
    <w:p>
      <w:r>
        <w:br w:type="page"/>
      </w:r>
    </w:p>
    <w:p>
      <w:pPr>
        <w:pStyle w:val="Heading1"/>
      </w:pPr>
      <w:r>
        <w:t>Document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2025-12-26</w:t>
            </w:r>
          </w:p>
        </w:tc>
        <w:tc>
          <w:tcPr>
            <w:tcW w:type="dxa" w:w="2160"/>
          </w:tcPr>
          <w:p>
            <w:r>
              <w:t>Auto-generated</w:t>
            </w:r>
          </w:p>
        </w:tc>
        <w:tc>
          <w:tcPr>
            <w:tcW w:type="dxa" w:w="2160"/>
          </w:tcPr>
          <w:p>
            <w:r>
              <w:t>Initial SAP generation</w:t>
            </w:r>
          </w:p>
        </w:tc>
      </w:tr>
    </w:tbl>
    <w:p>
      <w:r>
        <w:br w:type="page"/>
      </w:r>
    </w:p>
    <w:p>
      <w:pPr>
        <w:pStyle w:val="Heading1"/>
      </w:pPr>
      <w:r>
        <w:t>2. Study Objectives</w:t>
      </w:r>
    </w:p>
    <w:p>
      <w:pPr>
        <w:pStyle w:val="Heading1"/>
      </w:pPr>
      <w:r>
        <w:t>3. Study Endpoints</w:t>
      </w:r>
    </w:p>
    <w:p>
      <w:r>
        <w:t>BOR will be determined programmatically in the analysis of the study results.</w:t>
      </w:r>
    </w:p>
    <w:p>
      <w:r>
        <w:t>The ORR is defined as the proportion of participants whose BOR is investigator-assessed confirmed CR or PR using the RECIST v1.1 criteria.</w:t>
      </w:r>
    </w:p>
    <w:p>
      <w:r>
        <w:t>ORR will be summarized by a binomial response rate for each cohort and its corresponding two-(cid:86)(cid:76)(cid:71)(cid:72)(cid:71)(cid:28)(cid:24)(cid:8)(cid:72)(cid:91)(cid:68)(cid:70)(cid:87)(cid:38)(cid:44)(cid:86) (cid:88)(cid:86)(cid:76)(cid:81)(cid:74)(cid:87)(cid:75)(cid:72) Clopper-Pearson method (Clopper, 1934). 9.4.3.</w:t>
      </w:r>
    </w:p>
    <w:p>
      <w:r>
        <w:t>Secondary Endpoint(s) The investigator-assessed objective response will be further characterized by the TTR and DOR.</w:t>
      </w:r>
    </w:p>
    <w:p>
      <w:r>
        <w:t>DOR and TTR will be evaluated for responders (confirmed CR and PR) only.</w:t>
      </w:r>
    </w:p>
    <w:p>
      <w:r>
        <w:t>TTR is defined as the time from first dosing date to the date of the first confirmed response (CR or PR), as assessed by the investigators.</w:t>
      </w:r>
    </w:p>
    <w:p>
      <w:r>
        <w:t>CONFIDENTIAL Page 61 of 91</w:t>
      </w:r>
    </w:p>
    <w:p>
      <w:r>
        <w:t>(cid:15)(cid:26)(cid:20)(cid:28)(cid:19)(cid:23)(cid:22)(cid:25)(cid:16)(cid:25)(cid:29)(cid:21)(cid:24)(cid:26)(cid:27)(cid:21)(cid:18)(cid:15)(cid:12)(cid:16)(cid:10)(cid:6)(cid:3)(cid:14)(cid:9)(cid:10)(cid:16)(cid:2)(cid:5)(cid:4)(cid:5)(cid:9)(cid:2)(cid:6)(cid:14)(cid:11)(cid:11)(cid:2)(cid:10)(cid:17)(cid:17)(cid:11)(cid:2)(cid:7)(cid:11)(cid:8)(cid:6)(cid:13)(cid:5)(cid:7)(cid:9)(cid:11)(cid:13)(cid:3)(cid:14) Jazz Pharmaceuticals Protocol JZP712-201-02 JZP712 Amendment 02 Duration of response is defined as the time from first confirmed response (CR or PR) to the date of the first documented tumor progression as determined using RECIST v1.1 criteria or death due to any cause, whichever occurs first.</w:t>
      </w:r>
    </w:p>
    <w:p>
      <w:r>
        <w:t>The below censoring rules are applicable to both DOR and PFS.</w:t>
      </w:r>
    </w:p>
    <w:p>
      <w:r>
        <w:t>Participants who do not progress or die will be censored on the date of their last evaluable tumor assessment.</w:t>
      </w:r>
    </w:p>
    <w:p>
      <w:r>
        <w:t>Participants who started a new anticancer therapy without a prior reported progression will be censored on the date of their last evaluable tumor assessment on or prior to the initiation of first subsequent anticancer therapy.</w:t>
      </w:r>
    </w:p>
    <w:p>
      <w:r>
        <w:t>Participants who are lost to follow-up or discontinued from the study without a prior reported progression and without start of subsequent anticancer therapy will be censored on the date of their last evaluable tumor assessment on or prior to the date of loss to follow-up or study discontinuation.</w:t>
      </w:r>
    </w:p>
    <w:p>
      <w:r>
        <w:t>PFS is defined as the time from the first dosing date to the date of first documented disease progression or death due to any cause, whichever occurs first.</w:t>
      </w:r>
    </w:p>
    <w:p>
      <w:r>
        <w:t>Participants who did not have any on-study tumor assessments and did not die will be censored on their first dosing date.</w:t>
      </w:r>
    </w:p>
    <w:p>
      <w:r>
        <w:t>If a participant is to permanently discontinue study intervention before disease progression, the participant will be followed for survival by telephone visits every 3 months.</w:t>
      </w:r>
    </w:p>
    <w:p>
      <w:r>
        <w:t>The DCR is define as the proportion of participants whose BOR is confirmed CR, or PR, or stable disease using the RECIST v1.1 criteria.</w:t>
      </w:r>
    </w:p>
    <w:p>
      <w:r>
        <w:t>The point estimate and (cid:28)(cid:24)(cid:8) CI of DCR will be calculated using the same method as the primary endpoint ORR.</w:t>
      </w:r>
    </w:p>
    <w:p>
      <w:r>
        <w:t>Overall survival is defined as the time from the first dosing date to the date of death from any cause.</w:t>
      </w:r>
    </w:p>
    <w:p>
      <w:r>
        <w:t>A participant who has not died will be censored at the last known alive date. 9.4.4.</w:t>
      </w:r>
    </w:p>
    <w:p>
      <w:r>
        <w:t>Safety Analyses All safety analyses will be performed on the Safety analysis set. 9.4.4.1.</w:t>
      </w:r>
    </w:p>
    <w:p>
      <w:pPr>
        <w:pStyle w:val="Heading1"/>
      </w:pPr>
      <w:r>
        <w:t>4. Study Design</w:t>
      </w:r>
    </w:p>
    <w:p>
      <w:r>
        <w:t>Overall Design (cid:120) This is an open-label, multicenter, phase 2 study of lurbinectedin monotherapy in participants with advanced (metastatic and/or unresectable) solid tumors. (cid:120) The participant population comprises participants in 3 cohorts: advanced (metastatic and/or unresectable) UC, advanced (metastatic and/or unresectable) PD-NEC, and an HRD-positive malignancies agnostic cohort (specific criteria are presented in Section 5.1). (cid:16) Note that for the HRD-positive malignancies agnostic cohort only, the sponsor may preferentially enroll participants with certain tumor types at any time during the study to ensure adequate and even enrollment across the various tumor types under study. (cid:120) Participants will receive lurbinectedin 3.2 mg/m2 IV on Day 1 of Q3W cycle.</w:t>
      </w:r>
    </w:p>
    <w:p>
      <w:r>
        <w:t>Study intervention will continue until confirmed disease progression, withdrawal of participant consent, participant lost to follow-up, unacceptable toxicity, or the study or individual cohort is terminated by the sponsor, whichever comes first. (cid:120) This is a signal-seeking study of lurbinectedin 3.2 mg/m2 monotherapy.</w:t>
      </w:r>
    </w:p>
    <w:p>
      <w:r>
        <w:t>Review of the safety and efficacy data will be performed on an ongoing basis by the sponsor.</w:t>
      </w:r>
    </w:p>
    <w:p>
      <w:r>
        <w:t>The sponsor may decide to close a cohort or cohorts due to safety concerns, lack of efficacy or any other reasons.</w:t>
      </w:r>
    </w:p>
    <w:p>
      <w:r>
        <w:t>A cohort or cohorts may be expanded at the sponsor’s discretion to greater than 20 participants if an efficacy signal is observed without any safety concerns. (cid:120) This study includes up to a total of 60 participants in the initial assessment of efficacy in which each tumor cohort includes up to 20 participants.</w:t>
      </w:r>
    </w:p>
    <w:p>
      <w:r>
        <w:t>If there is evidence of efficacy, enrollment beyond 20 participants in the individual cohort may be considered.</w:t>
      </w:r>
    </w:p>
    <w:p>
      <w:r>
        <w:t>Each cohort will have up to 4 stages: stage 1 at n = 12 and stage 2 at n = 20 for futility testing (see Section 9.5); if a cohort enrolls beyond 20 participants, the study may enroll stage 3 with an interim analysis to assess efficacy at n = 35, and a final stage 4 at n = 100 for the final analysis. (cid:120) Beginning on Cycle 1 Day 1, participants still on study treatment will undergo tumor assessments every 6 weeks (± 7 days) through Week 36, regardless of treatment dose delays.</w:t>
      </w:r>
    </w:p>
    <w:p>
      <w:r>
        <w:t>After Week 36, tumor assessments will be required every 12 weeks (± 14 days).</w:t>
      </w:r>
    </w:p>
    <w:p>
      <w:r>
        <w:t>Participants will undergo tumor assessments until radiographic disease progression per RECIST v1.1, withdrawal of consent, lost to follow-up, study termination by the sponsor, or death, EOT visit, or study termination, whichever occurs first.</w:t>
      </w:r>
    </w:p>
    <w:p>
      <w:r>
        <w:t>After the EOT visit, all participants will be followed for survival by a telephone call every 3 months until at least 8(cid:19)(cid:8)(cid:82)(cid:73)(cid:83)(cid:68)(cid:85)(cid:87)(cid:76)(cid:70)(cid:76)(cid:83)(cid:68)(cid:81)(cid:87)(cid:86)(cid:76)(cid:81)(cid:72)(cid:68)(cid:70)(cid:75)(cid:70)(cid:82)(cid:75)(cid:82)(cid:85)(cid:87)(cid:75)(cid:68)(cid:89)(cid:72) died or withdraw consent or are lost to follow-up.</w:t>
      </w:r>
    </w:p>
    <w:p>
      <w:r>
        <w:t>If a cohort closes due to futility, the OS follow-up for that cohort will end.</w:t>
      </w:r>
    </w:p>
    <w:p>
      <w:r>
        <w:t>CONFIDENTIAL Page 32 of 91</w:t>
      </w:r>
    </w:p>
    <w:p>
      <w:r>
        <w:t>(cid:15)(cid:26)(cid:20)(cid:28)(cid:19)(cid:23)(cid:22)(cid:25)(cid:16)(cid:25)(cid:29)(cid:21)(cid:24)(cid:26)(cid:27)(cid:21)(cid:18)(cid:15)(cid:12)(cid:16)(cid:10)(cid:6)(cid:3)(cid:14)(cid:9)(cid:10)(cid:16)(cid:2)(cid:5)(cid:4)(cid:5)(cid:9)(cid:2)(cid:6)(cid:14)(cid:11)(cid:11)(cid:2)(cid:10)(cid:17)(cid:17)(cid:11)(cid:2)(cid:7)(cid:11)(cid:8)(cid:6)(cid:13)(cid:5)(cid:7)(cid:9)(cid:11)(cid:13)(cid:3)(cid:14) Jazz Pharmaceuticals Protocol JZP712-201-02 JZP712 Amendment 02 (cid:120) Administration of primary prophylaxis of colony-stimulating factors such as G-CSF or GM-CSF is mandated starting from Cycle 1 and during all subsequent cycles, in addition to the mandatory prophylactic medications listed in Section 6.6.</w:t>
      </w:r>
    </w:p>
    <w:p>
      <w:r>
        <w:t>The type, dose, and scheme to be used may vary according per institutional/standard practices or guidelines (see Section 6.6 for details). (cid:120) The projected study duration for each participant is approximately 17 months (including Screening Period [28 days], Intervention Period [9 months], Safety Follow-up Period [30 days]), and OS Follow-up Period (6 months). 4.2.</w:t>
      </w:r>
    </w:p>
    <w:p>
      <w:r>
        <w:t>Scientific Rationale for Study Design This is an open-label, nonrandomized, multi-cohort, signal-seeking study in advanced (metastatic and/or unresectable) tumors.</w:t>
      </w:r>
    </w:p>
    <w:p>
      <w:r>
        <w:t>The primary endpoint is the tumor response rate for each of 3 tumor cohorts.</w:t>
      </w:r>
    </w:p>
    <w:p>
      <w:r>
        <w:t>The ORR of each cohort will be assessed for a clinically meaningful improvement (see Section 9.5).</w:t>
      </w:r>
    </w:p>
    <w:p>
      <w:r>
        <w:t>The ORR is a direct measure of a drug antitumor activity, which can be evaluated in a single-arm study (FDA, 2018).</w:t>
      </w:r>
    </w:p>
    <w:p>
      <w:r>
        <w:t>If a cohort meets the predefined threshold of clinical efficacy, it may be further expanded to more than 20 participants and a discussion may be conducted with the FDA and other regulatory agencies for further clinical development of lurbinectedin in these tumors.</w:t>
      </w:r>
    </w:p>
    <w:p>
      <w:r>
        <w:t>There is no statistical hypothesis testing in this signal-seeking study.</w:t>
      </w:r>
    </w:p>
    <w:p>
      <w:r>
        <w:t>However, desired response (cid:85)(cid:68)(cid:87)(cid:72)(cid:86)(cid:68)(cid:85)(cid:72)(cid:71)(cid:72)(cid:73)(cid:76)(cid:81)(cid:72)(cid:71)(cid:68)(cid:86)(cid:21)(cid:19)(cid:8) (cid:82)(cid:85)(cid:80)(cid:82)(cid:85)(cid:72)(cid:73)(cid:82)(cid:85) (cid:72)(cid:68)(cid:70)(cid:75)(cid:70)(cid:82)(cid:75)(cid:82)(cid:85)(cid:87)(cid:73)(cid:82)(cid:85)(cid:73)(cid:88)(cid:85)(cid:87)(cid:75)(cid:72)(cid:85) (cid:72)(cid:91)(cid:83)(cid:79)(cid:82)(cid:85)(cid:68)(cid:87)(cid:76)(cid:82)(cid:81)(cid:76)(cid:81)(cid:87)(cid:75)(cid:72)(cid:86)(cid:72)(cid:83)(cid:68)(cid:85)(cid:87)(cid:76)(cid:70)(cid:76)(cid:83)(cid:68)(cid:81)(cid:87)(cid:86) (cid:90)(cid:76)(cid:87)(cid:75) selected advanced (metastatic and/or unresectable) solid tumors with lurbinectedin monotherapy (Section 9.2). 4.3.</w:t>
      </w:r>
    </w:p>
    <w:p>
      <w:r>
        <w:t>Justification for Dose Lurbinectedin was granted accelerated approval by FDA for the treatment of adult patients with metastatic SCLC with disease progression on or after platinum-based chemotherapy.</w:t>
      </w:r>
    </w:p>
    <w:p>
      <w:r>
        <w:t>The approved dose regimen for lurbinectedin is 3.2 mg/m2 administered as a 1-hour IV infusion on Day 1 and Q3W) (Zepzelca, 2022).</w:t>
      </w:r>
    </w:p>
    <w:p>
      <w:r>
        <w:t>This dose regimen provides the optimal benefit to the participants and minimizes the potential risk/toxicity of lurbinectedin (Fudio, 2021).</w:t>
      </w:r>
    </w:p>
    <w:p>
      <w:r>
        <w:t>In an exposure-response analysis of data for lurbinectedin in SCLC participants, the recommended lurbinectedin dosing regimen of 3.2 mg/m2 Q3W provided the maximum benefit in SCLC participants with disease progression on or after platinum-based chemotherapy.</w:t>
      </w:r>
    </w:p>
    <w:p>
      <w:r>
        <w:t>Lowering the dose resulted in reduced efficacy, whereas increasing it led to high incidence of severe hematological toxicity without improvement of efficacy (Fudio, 2021).</w:t>
      </w:r>
    </w:p>
    <w:p>
      <w:r>
        <w:t>Therefore, lurbinectedin 3.2 mg/m2 Q3W was selected for the maximum benefit for these participants. 4.4.</w:t>
      </w:r>
    </w:p>
    <w:p>
      <w:r>
        <w:t>End of Study Definition The EOS occurs when all dosed (cid:83)(cid:68)(cid:85)(cid:87)(cid:76)(cid:70)(cid:76)(cid:83)(cid:68)(cid:81)(cid:87)(cid:86)(cid:75)(cid:68)(cid:89)(cid:72) (cid:69)(cid:72)(cid:72)(cid:81)(cid:73)(cid:82)(cid:79)(cid:79)(cid:82)(cid:90)(cid:72)(cid:71)(cid:88)(cid:81)(cid:87)(cid:76)(cid:79)(cid:68)(cid:87)(cid:79)(cid:72)(cid:68)(cid:86)(cid:87)(cid:27)(cid:19)(cid:8)(cid:82)(cid:73)(cid:83)(cid:68)(cid:85)(cid:87)(cid:76)(cid:70)(cid:76)(cid:83)(cid:68)(cid:81)(cid:87)(cid:86) in each cohort have died, withdrawn consent, or are lost to follow-up.</w:t>
      </w:r>
    </w:p>
    <w:p>
      <w:r>
        <w:t>After EOT, further follow-up of all participants will take place for an assessment of OS via a telephone call every 3 months after their EOT visit until the EOS.</w:t>
      </w:r>
    </w:p>
    <w:p>
      <w:r>
        <w:t>The EOS for each participant is defined as the date of the last OS follow-up telephone call as shown in the SoA (Table 3).</w:t>
      </w:r>
    </w:p>
    <w:p>
      <w:r>
        <w:t>CONFIDENTIAL Page 33 of 91</w:t>
      </w:r>
    </w:p>
    <w:p>
      <w:r>
        <w:t>(cid:15)(cid:26)(cid:20)(cid:28)(cid:19)(cid:23)(cid:22)(cid:25)(cid:16)(cid:25)(cid:29)(cid:21)(cid:24)(cid:26)(cid:27)(cid:21)(cid:18)(cid:15)(cid:12)(cid:16)(cid:10)(cid:6)(cid:3)(cid:14)(cid:9)(cid:10)(cid:16)(cid:2)(cid:5)(cid:4)(cid:5)(cid:9)(cid:2)(cid:6)(cid:14)(cid:11)(cid:11)(cid:2)(cid:10)(cid:17)(cid:17)(cid:11)(cid:2)(cid:7)(cid:11)(cid:8)(cid:6)(cid:13)(cid:5)(cid:7)(cid:9)(cid:11)(cid:13)(cid:3)(cid:14) Jazz Pharmaceuticals Protocol JZP712-201-02 JZP712 Amendment 02 5.</w:t>
      </w:r>
    </w:p>
    <w:p>
      <w:pPr>
        <w:pStyle w:val="Heading1"/>
      </w:pPr>
      <w:r>
        <w:t>6. Sample Size Determination</w:t>
      </w:r>
    </w:p>
    <w:p>
      <w:r>
        <w:t>This study includes up to a total of 60 participants in the initial assessment of efficacy in which each tumor cohort includes up to 20 participants.</w:t>
      </w:r>
    </w:p>
    <w:p>
      <w:r>
        <w:t>If there is evidence of efficacy, enrollment beyond 20 participants in the individual cohort may be considered.</w:t>
      </w:r>
    </w:p>
    <w:p>
      <w:r>
        <w:t>Each cohort will have up to 4 stages: stage 1 at n = 12 and stage 2 at n = 20 for futility testing (see Section 9.5); if a cohort enrolls beyond 20 participants, the study may enroll stage 3 with an interim analysis to assess efficacy at n = 35, and a final stage 4 at n = 100 for the final analysis. (cid:44)(cid:73)(cid:87)(cid:75)(cid:72)(cid:85)(cid:72) (cid:68)(cid:85)(cid:72)(cid:149)(cid:23)(cid:85)(cid:72)(cid:86)(cid:83)(cid:82)(cid:81)(cid:86)(cid:72)(cid:86) (cid:11)(cid:68)(cid:87)(cid:68)(cid:85)(cid:74)(cid:72)(cid:87)(cid:82)(cid:73)(cid:21)(cid:19)(cid:8)(cid:50)(cid:53)(cid:53)(cid:12)(cid:82)(cid:88)(cid:87)(cid:82)(cid:73)(cid:21)(cid:19) participants in a cohort, the lower (cid:69)(cid:82)(cid:88)(cid:81)(cid:71)(cid:82)(cid:73)(cid:26)(cid:19)(cid:8)(cid:38)(cid:44)(cid:82)(cid:73)(cid:50)(cid:53)(cid:53) (cid:11)(cid:20)(cid:19)(cid:17)(cid:24)(cid:8)(cid:87)(cid:82)(cid:22)(cid:22)(cid:17)(cid:23)(cid:8)(cid:12)(cid:90)(cid:76)(cid:79)(cid:79)(cid:72)(cid:91)(cid:70)(cid:79)(cid:88)(cid:71)(cid:72)(cid:68)(cid:20)(cid:19)(cid:8)(cid:50)RR (Table 7) and the cohort (cid:80)(cid:68)(cid:92)(cid:70)(cid:82)(cid:81)(cid:87)(cid:76)(cid:81)(cid:88)(cid:72)(cid:17)(cid:55)(cid:75)(cid:76)(cid:86)(cid:90)(cid:76)(cid:79)(cid:79)(cid:83)(cid:85)(cid:82)(cid:89)(cid:76)(cid:71)(cid:72)(cid:68)(cid:83)(cid:83)(cid:85)(cid:82)(cid:91)(cid:76)(cid:80)(cid:68)(cid:87)(cid:72)(cid:79)(cid:92)(cid:27)(cid:24)(cid:8)(cid:70)(cid:82)(cid:81)(cid:73)(cid:76)(cid:71)(cid:72)(cid:81)(cid:70)(cid:72)(cid:87)(cid:75)(cid:68)(cid:87)(cid:87)(cid:75)(cid:72)(cid:87)(cid:85)(cid:88)(cid:72)(cid:50)(cid:53)(cid:53)(cid:85)(cid:68)(cid:87)(cid:72)(cid:76)(cid:86)(cid:33)(cid:20)(cid:19)(cid:8)(cid:15) (cid:90)(cid:75)(cid:72)(cid:85)(cid:72) (cid:68)(cid:20)(cid:19)(cid:8)(cid:82)(cid:85)(cid:79)(cid:82)(cid:90)(cid:72)(cid:85)(cid:85)(cid:72)(cid:86)(cid:83)(cid:82)(cid:81)(cid:86)(cid:72)(cid:85)(cid:68)(cid:87)(cid:72)(cid:76)(cid:86)(cid:81)(cid:82)(cid:87)(cid:70)(cid:79)(cid:76)(cid:81)(cid:76)(cid:70)(cid:68)(cid:79)(cid:79)(cid:92)(cid:80)(cid:72)(cid:68)(cid:81)(cid:76)(cid:81)(cid:74)(cid:73)(cid:88)(cid:79)(cid:17) (cid:44)(cid:73)(cid:87)(cid:75)(cid:72)(cid:85)(cid:72)(cid:68)(cid:85)(cid:72)(cid:149)(cid:27)responses (cid:11)(cid:21)(cid:21)(cid:17)(cid:28)(cid:8)(cid:50)(cid:53)(cid:53)(cid:12)(cid:82)(cid:88)(cid:87)(cid:82)(cid:73)(cid:22)(cid:24)(cid:83)(cid:68)(cid:85)(cid:87)(cid:76)(cid:70)(cid:76)(cid:83)(cid:68)(cid:81)(cid:87)(cid:86)(cid:76)(cid:81)(cid:68)(cid:70)(cid:82)(cid:75)(cid:82)(cid:85)(cid:87)(cid:15)(cid:87)(cid:75)(cid:72)(cid:79)(cid:82)(cid:90)(cid:72)(cid:85)(cid:69)(cid:82)(cid:88)(cid:81)(cid:71)(cid:82)(cid:73)(cid:28)(cid:24)(cid:8)(cid:38)(cid:44)(cid:82)(cid:73)(cid:50)(cid:53)(cid:53)(cid:11)(cid:20)(cid:19)(cid:17)(cid:23)(cid:8)(cid:87)(cid:82) (cid:23)(cid:19)(cid:17)(cid:20)(cid:8)(cid:12)(cid:90)(cid:76)(cid:79)(cid:79)(cid:72)(cid:91)(cid:70)(cid:79)(cid:88)(cid:71)(cid:72) (cid:68)(cid:20)(cid:19)(cid:8)(cid:50)(cid:53)(cid:53)(cid:11)Table 8) and the cohort may continue enrollment up to a total (cid:82)(cid:73)(cid:20)(cid:19)(cid:19)(cid:83)(cid:68)(cid:85)(cid:87)(cid:76)(cid:70)(cid:76)(cid:83)(cid:68)(cid:81)(cid:87)(cid:86)(cid:17) (cid:44)(cid:73)(cid:87)(cid:75)(cid:72)(cid:85)(cid:72)(cid:68)(cid:85)(cid:72)(cid:149)(cid:21)(cid:19)(cid:85)(cid:72)(cid:86)(cid:83)(cid:82)(cid:81)(cid:86)(cid:72)(cid:86)(cid:11)(cid:21)(cid:19)(cid:8)(cid:50)(cid:53)(cid:53)(cid:12)(cid:82)(cid:88)(cid:87)(cid:82)(cid:73)(cid:20)(cid:19)(cid:19)(cid:83)(cid:68)(cid:85)(cid:87)(cid:76)(cid:70)(cid:76)(cid:83)(cid:68)(cid:81)(cid:87)(cid:86)(cid:76)(cid:81)(cid:68)(cid:70)(cid:82)(cid:75)(cid:82)(cid:85)(cid:87)(cid:15) (cid:87)(cid:75)(cid:72)(cid:79)(cid:82)(cid:90)(cid:72)(cid:85)(cid:69)(cid:82)(cid:88)(cid:81)(cid:71)(cid:82)(cid:73)(cid:28)(cid:24)(cid:8) (cid:38)(cid:44)(cid:82)(cid:73) (cid:50)(cid:53)(cid:53)(cid:11)(cid:20)(cid:21)(cid:17)(cid:26)(cid:8)(cid:87)(cid:82)(cid:21)(cid:28)(cid:17)(cid:21)(cid:8)(cid:12)(cid:90)(cid:76)(cid:79)(cid:79)(cid:72)(cid:91)(cid:70)(cid:79)(cid:88)(cid:71)(cid:72) (cid:68)(cid:20)(cid:19)(cid:8) (cid:50)(cid:53)(cid:53)(cid:11)Table 8).</w:t>
      </w:r>
    </w:p>
    <w:p>
      <w:r>
        <w:t>Table 7: Two-sided, Exact CI of ORR Under Varying Scenarios for n = 20 Sample No of Observed 70% CI of 80% CI of 90% CI of 95% CI of Size Responders ORR (%) ORR (%) ORR (%) ORR (%) ORR (%) 4 20 (10.5, 33.4) (9.0, 36.1) (7.1, 40.1) (5.7, 43.7) 5 25 (14.4, 38.8) (12.7, 41.5) (10.4, 45.6) (8.7, 49.1) 6 30 (18.5, 44.0) (16.6, 46.7) (14.0, 50.8) (11.9, 54.3) 7 35 (22.8, 49.1) (20.7, 51.8) (17.7, 55.8) (15.4, 59.2) 8 40 (27.2, 54.1) (24.9, 56.7) (21.7, 60.6) (19.1, 63.9) Abbreviations: CI = confidence interval; ORR = objective response rate.</w:t>
      </w:r>
    </w:p>
    <w:p>
      <w:r>
        <w:t>CONFIDENTIAL Page 58 of 91</w:t>
      </w:r>
    </w:p>
    <w:p>
      <w:r>
        <w:t>(cid:15)(cid:26)(cid:20)(cid:28)(cid:19)(cid:23)(cid:22)(cid:25)(cid:16)(cid:25)(cid:29)(cid:21)(cid:24)(cid:26)(cid:27)(cid:21)(cid:18)(cid:15)(cid:12)(cid:16)(cid:10)(cid:6)(cid:3)(cid:14)(cid:9)(cid:10)(cid:16)(cid:2)(cid:5)(cid:4)(cid:5)(cid:9)(cid:2)(cid:6)(cid:14)(cid:11)(cid:11)(cid:2)(cid:10)(cid:17)(cid:17)(cid:11)(cid:2)(cid:7)(cid:11)(cid:8)(cid:6)(cid:13)(cid:5)(cid:7)(cid:9)(cid:11)(cid:13)(cid:3)(cid:14) Jazz Pharmaceuticals Protocol JZP712-201-02 JZP712 Amendment 02 9.4.1.</w:t>
      </w:r>
    </w:p>
    <w:p>
      <w:r>
        <w:t>General Considerations 9.4.1.1.</w:t>
      </w:r>
    </w:p>
    <w:p>
      <w:r>
        <w:t>Definition of Study Periods for Analysis 9.4.1.1.1.</w:t>
      </w:r>
    </w:p>
    <w:p>
      <w:r>
        <w:t>Baseline Baseline evaluations (eg, disease assessments, laboratory tests, vital signs, and ECOG performance status) will be defined as evaluations with a date on or prior to the date of first dose of study intervention.</w:t>
      </w:r>
    </w:p>
    <w:p>
      <w:r>
        <w:t>If there are multiple valid observations in the Screening Period, then the latest non-missing observation on or before the first dose of study intervention will be used as the baseline in the analyses.</w:t>
      </w:r>
    </w:p>
    <w:p>
      <w:r>
        <w:t>Detailed instructions for assigning baseline values will be given in the SAP. 9.4.1.1.2.</w:t>
      </w:r>
    </w:p>
    <w:p>
      <w:r>
        <w:t>Post-baseline Post baseline evaluations will be defined as evaluations taken after the date of the first dose of study treatment.</w:t>
      </w:r>
    </w:p>
    <w:p>
      <w:r>
        <w:t>The post-baseline period is further characterized into a treatment period, a 30-day safety follow-up period after the last dose of study treatment, and an OS Follow-up Period.</w:t>
      </w:r>
    </w:p>
    <w:p>
      <w:r>
        <w:t>Treatment-emergent adverse events are defined as AEs with an onset date on or after the date of the first dose of study treatment.</w:t>
      </w:r>
    </w:p>
    <w:p>
      <w:r>
        <w:t>An AE is a TEAE if it occurs up to 30 days after the last dose of study intervention.</w:t>
      </w:r>
    </w:p>
    <w:p>
      <w:r>
        <w:t>TEAEs can be pre-treatment AEs that worsen in CTCAE grade after the start of study treatment. 9.4.1.2.</w:t>
      </w:r>
    </w:p>
    <w:p>
      <w:pPr>
        <w:pStyle w:val="Heading1"/>
      </w:pPr>
      <w:r>
        <w:t>7. General Statistical Methods</w:t>
      </w:r>
    </w:p>
    <w:p>
      <w:r>
        <w:t>The safety analyses will be performed on the Safety analysis set.</w:t>
      </w:r>
    </w:p>
    <w:p>
      <w:r>
        <w:t>Unless otherwise noted, discrete measurements will be tabulated by the frequency and proportion of participants falling into each category within each cohort.</w:t>
      </w:r>
    </w:p>
    <w:p>
      <w:r>
        <w:t>Continuous measurements will be summarized using the sample size, mean, standard deviation, median, minimum, and maximum values for each cohort.</w:t>
      </w:r>
    </w:p>
    <w:p>
      <w:r>
        <w:t>Time-to-event measurements will be summarized using K-M estimates.</w:t>
      </w:r>
    </w:p>
    <w:p>
      <w:r>
        <w:t>This will be done for the following endpoints: TTR, DOR, PFS, and OS.</w:t>
      </w:r>
    </w:p>
    <w:p>
      <w:r>
        <w:t>The TTR will also be analyzed using summary statistics such as mean, standard deviation, median, minimum, and maximum values.</w:t>
      </w:r>
    </w:p>
    <w:p>
      <w:r>
        <w:t>Median (cid:86)(cid:88)(cid:85)(cid:89)(cid:76)(cid:89)(cid:68)(cid:79)(cid:87)(cid:76)(cid:80)(cid:72)(cid:90)(cid:76)(cid:79)(cid:79)(cid:69)(cid:72)(cid:85)(cid:72)(cid:83)(cid:82)(cid:85)(cid:87)(cid:72)(cid:71)(cid:68)(cid:79)(cid:82)(cid:81)(cid:74)(cid:90)(cid:76)(cid:87)(cid:75)(cid:28)(cid:24)(cid:8)(cid:38)(cid:44)(cid:86)(cid:70)(cid:82)(cid:81)(cid:86)(cid:87)(cid:85)(cid:88)(cid:70)(cid:87)(cid:72)(cid:71)(cid:69)(cid:68)(cid:86)(cid:72)(cid:71)(cid:82)(cid:81)(cid:68) (cid:79)(cid:82)(cid:74)-log transformed CI for the survivor function (Brookmeyer, 1982).</w:t>
      </w:r>
    </w:p>
    <w:p>
      <w:r>
        <w:t>Rates at fixed times (3, 6, 9, and 12 months) will be derived from the K-M estimates if the data allow, and the corresponding CIs will be calculated based on Greenwood formula for variance derivation and on a log-log transformation applied to the survivor function (Greenwood, 1926; Kalbfleisch, 1980).</w:t>
      </w:r>
    </w:p>
    <w:p>
      <w:r>
        <w:t>CONFIDENTIAL Page 60 of 91</w:t>
      </w:r>
    </w:p>
    <w:p>
      <w:r>
        <w:t>(cid:15)(cid:26)(cid:20)(cid:28)(cid:19)(cid:23)(cid:22)(cid:25)(cid:16)(cid:25)(cid:29)(cid:21)(cid:24)(cid:26)(cid:27)(cid:21)(cid:18)(cid:15)(cid:12)(cid:16)(cid:10)(cid:6)(cid:3)(cid:14)(cid:9)(cid:10)(cid:16)(cid:2)(cid:5)(cid:4)(cid:5)(cid:9)(cid:2)(cid:6)(cid:14)(cid:11)(cid:11)(cid:2)(cid:10)(cid:17)(cid:17)(cid:11)(cid:2)(cid:7)(cid:11)(cid:8)(cid:6)(cid:13)(cid:5)(cid:7)(cid:9)(cid:11)(cid:13)(cid:3)(cid:14) Jazz Pharmaceuticals Protocol JZP712-201-02 JZP712 Amendment 02 9.4.1.3.</w:t>
      </w:r>
    </w:p>
    <w:p>
      <w:r>
        <w:t>Dropouts and Missing Data 9.4.1.3.1.</w:t>
      </w:r>
    </w:p>
    <w:p>
      <w:r>
        <w:t>Imputation of Non-date Missing Data Data used for evaluating efficacy and safety endpoints may be missing for technical reasons (eg, unreadable scan, participant missed appointment).</w:t>
      </w:r>
    </w:p>
    <w:p>
      <w:r>
        <w:t>The primary efficacy analysis will be performed on the Efficacy-evaluable analysis set in this study.</w:t>
      </w:r>
    </w:p>
    <w:p>
      <w:r>
        <w:t>For participants without any post baseline disease assessment, the response of this participant will be imputed as non-responder for sensitivity analyses of ORR in the Safety analysis set.</w:t>
      </w:r>
    </w:p>
    <w:p>
      <w:r>
        <w:t>Participants with the designation of treatment relationship for AEs and SAEs missing will have the worst case assumed to impute the relationship: if relationship to study treatment is missing it will be assumed to be “Yes.” The details of analyses with missing data will be specified in the SAP. 9.4.1.3.2.</w:t>
      </w:r>
    </w:p>
    <w:p>
      <w:r>
        <w:t>Imputation of Partial Dates Imputed dates will not be used to derive study day or duration.</w:t>
      </w:r>
    </w:p>
    <w:p>
      <w:r>
        <w:t>In addition, imputed dates are not used for deriving the last contact date for OS.</w:t>
      </w:r>
    </w:p>
    <w:p>
      <w:r>
        <w:t>Imputed dates will be displayed in listings and identified as imputed.</w:t>
      </w:r>
    </w:p>
    <w:p>
      <w:r>
        <w:t>AEs with partial dates will have imputed dates used to identify treatment emergent AEs and for sorting in data listings.</w:t>
      </w:r>
    </w:p>
    <w:p>
      <w:r>
        <w:t>They will not be used to calculate duration of AEs.</w:t>
      </w:r>
    </w:p>
    <w:p>
      <w:r>
        <w:t>If an AE start or end date is completely missing, then the duration of the AE will be set to missing.</w:t>
      </w:r>
    </w:p>
    <w:p>
      <w:r>
        <w:t>Algorithms for imputing partial dates will be provided in the SAP. 9.4.2.</w:t>
      </w:r>
    </w:p>
    <w:p>
      <w:r>
        <w:br w:type="page"/>
      </w:r>
    </w:p>
    <w:p>
      <w:pPr>
        <w:pStyle w:val="Heading1"/>
      </w:pPr>
      <w:r>
        <w:t>Appendices</w:t>
      </w:r>
    </w:p>
    <w:p>
      <w:r>
        <w:t>A. List of Abbreviations</w:t>
      </w:r>
    </w:p>
    <w:p>
      <w:r>
        <w:t>B. Shell Tables and Figures</w:t>
      </w:r>
    </w:p>
    <w:p>
      <w:r>
        <w:t>C. Programming Specifications</w:t>
      </w:r>
    </w:p>
    <w:p>
      <w:r>
        <w:br w:type="page"/>
      </w:r>
    </w:p>
    <w:p>
      <w:pPr>
        <w:pStyle w:val="Heading1"/>
      </w:pPr>
      <w:r>
        <w:t>Document Quality Metrics</w:t>
      </w:r>
    </w:p>
    <w:p>
      <w:r>
        <w:t>Validation Score: 0/100</w:t>
      </w:r>
    </w:p>
    <w:p>
      <w:r>
        <w:t>Generated: 2025-12-26T00:18:19.801331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