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z w:val="36"/>
        </w:rPr>
        <w:t>TABLE, LISTING, AND FIGURE SHELLS</w:t>
      </w:r>
    </w:p>
    <w:p/>
    <w:p>
      <w:pPr>
        <w:jc w:val="center"/>
      </w:pPr>
      <w:r>
        <w:rPr>
          <w:rFonts w:ascii="Arial" w:hAnsi="Arial"/>
          <w:b/>
          <w:sz w:val="24"/>
        </w:rPr>
        <w:t xml:space="preserve">Protocol: </w:t>
      </w:r>
      <w:r>
        <w:rPr>
          <w:rFonts w:ascii="Arial" w:hAnsi="Arial"/>
          <w:sz w:val="24"/>
        </w:rPr>
      </w:r>
    </w:p>
    <w:p>
      <w:pPr>
        <w:jc w:val="center"/>
      </w:pPr>
      <w:r>
        <w:rPr>
          <w:rFonts w:ascii="Arial" w:hAnsi="Arial"/>
          <w:b/>
          <w:sz w:val="24"/>
        </w:rPr>
        <w:t xml:space="preserve">Therapeutic Area: </w:t>
      </w:r>
      <w:r>
        <w:rPr>
          <w:rFonts w:ascii="Arial" w:hAnsi="Arial"/>
          <w:sz w:val="24"/>
        </w:rPr>
        <w:t>oncology</w:t>
      </w:r>
    </w:p>
    <w:p>
      <w:pPr>
        <w:jc w:val="center"/>
      </w:pPr>
      <w:r>
        <w:rPr>
          <w:rFonts w:ascii="Arial" w:hAnsi="Arial"/>
          <w:b/>
          <w:sz w:val="24"/>
        </w:rPr>
        <w:t xml:space="preserve">Treatment Arms: </w:t>
      </w:r>
      <w:r>
        <w:rPr>
          <w:rFonts w:ascii="Arial" w:hAnsi="Arial"/>
          <w:sz w:val="24"/>
        </w:rPr>
        <w:t>CT-P16 with paclitaxel and carboplatin, EU-Approved Avastin with paclitaxel and carboplatin</w:t>
      </w:r>
    </w:p>
    <w:p>
      <w:pPr>
        <w:jc w:val="center"/>
      </w:pPr>
      <w:r>
        <w:rPr>
          <w:rFonts w:ascii="Arial" w:hAnsi="Arial"/>
          <w:b/>
          <w:sz w:val="24"/>
        </w:rPr>
        <w:t xml:space="preserve">Analysis Populations: </w:t>
      </w:r>
      <w:r>
        <w:rPr>
          <w:rFonts w:ascii="Arial" w:hAnsi="Arial"/>
          <w:sz w:val="24"/>
        </w:rPr>
        <w:t>ITT, PP, PK, Safety</w:t>
      </w:r>
    </w:p>
    <w:p/>
    <w:p>
      <w:pPr>
        <w:jc w:val="center"/>
      </w:pPr>
      <w:r>
        <w:rPr>
          <w:rFonts w:ascii="Arial" w:hAnsi="Arial"/>
          <w:sz w:val="22"/>
        </w:rPr>
        <w:t>87 Tables  |  8 Figures  |  32 Listings  |  127 Total</w:t>
      </w:r>
    </w:p>
    <w:p>
      <w:r>
        <w:br w:type="page"/>
      </w:r>
    </w:p>
    <w:p>
      <w:r>
        <w:rPr>
          <w:rFonts w:ascii="Arial" w:hAnsi="Arial"/>
          <w:b/>
          <w:sz w:val="22"/>
        </w:rPr>
        <w:t>Table 14.1.1: Subject Disposition (All Screened Population)</w:t>
      </w:r>
    </w:p>
    <w:p>
      <w:r>
        <w:rPr>
          <w:rFonts w:ascii="Arial" w:hAnsi="Arial"/>
          <w:color w:val="646464"/>
          <w:sz w:val="16"/>
        </w:rPr>
        <w:t>Source Dataset: ADSL  |  Population: All Screened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Screened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Screen Failures,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Randomized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Treated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Study Treatment Status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Completed study treatment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Discontinued study treatment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Reason for Discontinuation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Adverse event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Disease progression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Withdrawal by subject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Physician decision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Protocol deviation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Lost to follow-up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Death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Other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Study Status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Completed study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Ongoing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Discontinued from study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All Screened Population.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14.1.2: Protocol Deviations (All Enrolled Population)</w:t>
      </w:r>
    </w:p>
    <w:p>
      <w:r>
        <w:rPr>
          <w:rFonts w:ascii="Arial" w:hAnsi="Arial"/>
          <w:color w:val="646464"/>
          <w:sz w:val="16"/>
        </w:rPr>
        <w:t>Source Dataset: ADSL  |  Population: All Enrolled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rPr>
          <w:rFonts w:ascii="Arial" w:hAnsi="Arial"/>
          <w:i/>
          <w:sz w:val="16"/>
        </w:rPr>
        <w:t>1. All Enrolled Population.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14.1.3: Demographics and Baseline Characteristics (ITT Population)</w:t>
      </w:r>
    </w:p>
    <w:p>
      <w:r>
        <w:rPr>
          <w:rFonts w:ascii="Arial" w:hAnsi="Arial"/>
          <w:color w:val="646464"/>
          <w:sz w:val="16"/>
        </w:rPr>
        <w:t>Source Dataset: ADSL  |  Population: ITT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Age (years)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Min, Max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Age Group,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&lt;65 years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≥65 years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≥75 years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Sex,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Male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Female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Race,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Ethnicity,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Hispanic or Latino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Not Hispanic or Latino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Not Reported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Weight (kg)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Height (cm)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BMI (kg/m²)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DISEASE-SPECIFIC BASELINE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14.1.4: Medical History (ITT Population)</w:t>
      </w:r>
    </w:p>
    <w:p>
      <w:r>
        <w:rPr>
          <w:rFonts w:ascii="Arial" w:hAnsi="Arial"/>
          <w:color w:val="646464"/>
          <w:sz w:val="16"/>
        </w:rPr>
        <w:t>Source Dataset: ADMH  |  Population: ITT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Subjects with at least one medical history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14.1.5: Prior and Concomitant Therapies (ITT Population)</w:t>
      </w:r>
    </w:p>
    <w:p>
      <w:r>
        <w:rPr>
          <w:rFonts w:ascii="Arial" w:hAnsi="Arial"/>
          <w:color w:val="646464"/>
          <w:sz w:val="16"/>
        </w:rPr>
        <w:t>Source Dataset: ADSL  |  Population: ITT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14.3.1: Study Drug Exposure (Safety Population)</w:t>
      </w:r>
    </w:p>
    <w:p>
      <w:r>
        <w:rPr>
          <w:rFonts w:ascii="Arial" w:hAnsi="Arial"/>
          <w:color w:val="646464"/>
          <w:sz w:val="16"/>
        </w:rPr>
        <w:t>Source Dataset: ADEX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Number of subjects treated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Duration of Treatment (weeks)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Min, Max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Number of Doses/Cycles Received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Min, Max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Cumulative Dose ({unit})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Relative Dose Intensity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Min, Max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14.3.2: Concomitant Medications (Safety Population)</w:t>
      </w:r>
    </w:p>
    <w:p>
      <w:r>
        <w:rPr>
          <w:rFonts w:ascii="Arial" w:hAnsi="Arial"/>
          <w:color w:val="646464"/>
          <w:sz w:val="16"/>
        </w:rPr>
        <w:t>Source Dataset: ADCM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Subjects with at least one concomitant medication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ATC Class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Generic Drug Name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14.3.3: Overview of Treatment-Emergent Adverse Events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Subjects with at least one: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TEAE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≥3 TEAE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4 TEAE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5 TEAE (Death)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Serious TEAE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Treatment-related TEAE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Treatment-related Serious TEAE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TEAE leading to study drug discontinuation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TEAE leading to dose modification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TEAE leading to dose interruption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Maximum CTCAE Grade: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1 (Mild)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2 (Moderate)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3 (Severe)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4 (Life-threatening)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5 (Death)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14.3.4: TEAEs by SOC and PT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14.2.1: Objective response rate (ORR, %) based on BOR during the Induction Study Period by RECIST v.1.1 (Central Review) (ITT Population)</w:t>
      </w:r>
    </w:p>
    <w:p>
      <w:r>
        <w:rPr>
          <w:rFonts w:ascii="Arial" w:hAnsi="Arial"/>
          <w:color w:val="646464"/>
          <w:sz w:val="16"/>
        </w:rPr>
        <w:t>Source Dataset: ADRS  |  Population: ITT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Evaluable subjects, 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Responders,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Logistic Regression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Odds Ratio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 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 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 [xx.x, xx.x]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P-value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x.xxxx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Covariates in Model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CR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PR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PD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Logistic regression model.</w:t>
        <w:br/>
      </w:r>
      <w:r>
        <w:rPr>
          <w:rFonts w:ascii="Arial" w:hAnsi="Arial"/>
          <w:i/>
          <w:sz w:val="16"/>
        </w:rPr>
        <w:t>4. Risk difference and 95% CI estimated by Miettinen-Nurminen method. Equivalence margin: -12.5% to 12.5%.</w:t>
        <w:br/>
      </w:r>
      <w:r>
        <w:rPr>
          <w:rFonts w:ascii="Arial" w:hAnsi="Arial"/>
          <w:i/>
          <w:sz w:val="16"/>
        </w:rPr>
        <w:t>5. Response rate and 95% CI calculated using Clopper-Pearson exact method.</w:t>
        <w:br/>
      </w:r>
      <w:r>
        <w:rPr>
          <w:rFonts w:ascii="Arial" w:hAnsi="Arial"/>
          <w:i/>
          <w:sz w:val="16"/>
        </w:rPr>
        <w:t>6. Response assessed per RECIST 1.1.</w:t>
        <w:br/>
      </w:r>
      <w:r>
        <w:rPr>
          <w:rFonts w:ascii="Arial" w:hAnsi="Arial"/>
          <w:i/>
          <w:sz w:val="16"/>
        </w:rPr>
        <w:t>7. All analyses based on the  population.</w:t>
        <w:br/>
      </w:r>
      <w:r>
        <w:rPr>
          <w:rFonts w:ascii="Arial" w:hAnsi="Arial"/>
          <w:i/>
          <w:sz w:val="16"/>
        </w:rPr>
        <w:t>8. logistic</w:t>
        <w:br/>
      </w:r>
      <w:r>
        <w:rPr>
          <w:rFonts w:ascii="Arial" w:hAnsi="Arial"/>
          <w:i/>
          <w:sz w:val="16"/>
        </w:rPr>
        <w:t>9. ci_exact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14.2.2: Objective response rate (ORR, %) based on BOR during the Induction Study Period by RECIST v.1.1 (Local Review) (ITT Population)</w:t>
      </w:r>
    </w:p>
    <w:p>
      <w:r>
        <w:rPr>
          <w:rFonts w:ascii="Arial" w:hAnsi="Arial"/>
          <w:color w:val="646464"/>
          <w:sz w:val="16"/>
        </w:rPr>
        <w:t>Source Dataset: ADRS  |  Population: ITT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Evaluable subjects, 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Responders,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Logistic Regression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Odds Ratio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 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 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 [xx.x, xx.x]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P-value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x.xxxx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Covariates in Model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CR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PR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PD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Logistic regression model.</w:t>
        <w:br/>
      </w:r>
      <w:r>
        <w:rPr>
          <w:rFonts w:ascii="Arial" w:hAnsi="Arial"/>
          <w:i/>
          <w:sz w:val="16"/>
        </w:rPr>
        <w:t>4. Risk difference and 95% CI estimated by Miettinen-Nurminen method. Equivalence margin: -12.5% to 12.5%.</w:t>
        <w:br/>
      </w:r>
      <w:r>
        <w:rPr>
          <w:rFonts w:ascii="Arial" w:hAnsi="Arial"/>
          <w:i/>
          <w:sz w:val="16"/>
        </w:rPr>
        <w:t>5. Response rate and 95% CI calculated using Clopper-Pearson exact method.</w:t>
        <w:br/>
      </w:r>
      <w:r>
        <w:rPr>
          <w:rFonts w:ascii="Arial" w:hAnsi="Arial"/>
          <w:i/>
          <w:sz w:val="16"/>
        </w:rPr>
        <w:t>6. Response assessed per RECIST 1.1.</w:t>
        <w:br/>
      </w:r>
      <w:r>
        <w:rPr>
          <w:rFonts w:ascii="Arial" w:hAnsi="Arial"/>
          <w:i/>
          <w:sz w:val="16"/>
        </w:rPr>
        <w:t>7. All analyses based on the  population.</w:t>
        <w:br/>
      </w:r>
      <w:r>
        <w:rPr>
          <w:rFonts w:ascii="Arial" w:hAnsi="Arial"/>
          <w:i/>
          <w:sz w:val="16"/>
        </w:rPr>
        <w:t>8. logistic</w:t>
        <w:br/>
      </w:r>
      <w:r>
        <w:rPr>
          <w:rFonts w:ascii="Arial" w:hAnsi="Arial"/>
          <w:i/>
          <w:sz w:val="16"/>
        </w:rPr>
        <w:t>9. ci_exact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14.2.3: Objective response rate (ORR, %) based on BOR during the Induction Study Period by RECIST v.1.1 (Central Review) (PP Population)</w:t>
      </w:r>
    </w:p>
    <w:p>
      <w:r>
        <w:rPr>
          <w:rFonts w:ascii="Arial" w:hAnsi="Arial"/>
          <w:color w:val="646464"/>
          <w:sz w:val="16"/>
        </w:rPr>
        <w:t>Source Dataset: ADRS  |  Population: PP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Evaluable subjects, 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Responders,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Logistic Regression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Odds Ratio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 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 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 [xx.x, xx.x]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P-value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x.xxxx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Covariates in Model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CR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PR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PD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Per-Protocol Population: ITT excluding subjects with major protocol deviations.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Logistic regression model.</w:t>
        <w:br/>
      </w:r>
      <w:r>
        <w:rPr>
          <w:rFonts w:ascii="Arial" w:hAnsi="Arial"/>
          <w:i/>
          <w:sz w:val="16"/>
        </w:rPr>
        <w:t>4. Risk difference and 95% CI estimated by Miettinen-Nurminen method. Equivalence margin: -12.5% to 12.5%.</w:t>
        <w:br/>
      </w:r>
      <w:r>
        <w:rPr>
          <w:rFonts w:ascii="Arial" w:hAnsi="Arial"/>
          <w:i/>
          <w:sz w:val="16"/>
        </w:rPr>
        <w:t>5. Response rate and 95% CI calculated using Clopper-Pearson exact method.</w:t>
        <w:br/>
      </w:r>
      <w:r>
        <w:rPr>
          <w:rFonts w:ascii="Arial" w:hAnsi="Arial"/>
          <w:i/>
          <w:sz w:val="16"/>
        </w:rPr>
        <w:t>6. Response assessed per RECIST 1.1.</w:t>
        <w:br/>
      </w:r>
      <w:r>
        <w:rPr>
          <w:rFonts w:ascii="Arial" w:hAnsi="Arial"/>
          <w:i/>
          <w:sz w:val="16"/>
        </w:rPr>
        <w:t>7. All analyses based on the  population.</w:t>
        <w:br/>
      </w:r>
      <w:r>
        <w:rPr>
          <w:rFonts w:ascii="Arial" w:hAnsi="Arial"/>
          <w:i/>
          <w:sz w:val="16"/>
        </w:rPr>
        <w:t>8. logistic</w:t>
        <w:br/>
      </w:r>
      <w:r>
        <w:rPr>
          <w:rFonts w:ascii="Arial" w:hAnsi="Arial"/>
          <w:i/>
          <w:sz w:val="16"/>
        </w:rPr>
        <w:t>9. ci_exact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14.2.4: Objective response rate (ORR, %) based on BOR during the Induction Study Period by RECIST v.1.1 (Local Review) (PP Population)</w:t>
      </w:r>
    </w:p>
    <w:p>
      <w:r>
        <w:rPr>
          <w:rFonts w:ascii="Arial" w:hAnsi="Arial"/>
          <w:color w:val="646464"/>
          <w:sz w:val="16"/>
        </w:rPr>
        <w:t>Source Dataset: ADRS  |  Population: PP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Evaluable subjects, 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Responders,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Logistic Regression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Odds Ratio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 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 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 [xx.x, xx.x]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P-value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x.xxxx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Covariates in Model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CR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PR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PD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Per-Protocol Population: ITT excluding subjects with major protocol deviations.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Logistic regression model.</w:t>
        <w:br/>
      </w:r>
      <w:r>
        <w:rPr>
          <w:rFonts w:ascii="Arial" w:hAnsi="Arial"/>
          <w:i/>
          <w:sz w:val="16"/>
        </w:rPr>
        <w:t>4. Risk difference and 95% CI estimated by Miettinen-Nurminen method. Equivalence margin: -12.5% to 12.5%.</w:t>
        <w:br/>
      </w:r>
      <w:r>
        <w:rPr>
          <w:rFonts w:ascii="Arial" w:hAnsi="Arial"/>
          <w:i/>
          <w:sz w:val="16"/>
        </w:rPr>
        <w:t>5. Response rate and 95% CI calculated using Clopper-Pearson exact method.</w:t>
        <w:br/>
      </w:r>
      <w:r>
        <w:rPr>
          <w:rFonts w:ascii="Arial" w:hAnsi="Arial"/>
          <w:i/>
          <w:sz w:val="16"/>
        </w:rPr>
        <w:t>6. Response assessed per RECIST 1.1.</w:t>
        <w:br/>
      </w:r>
      <w:r>
        <w:rPr>
          <w:rFonts w:ascii="Arial" w:hAnsi="Arial"/>
          <w:i/>
          <w:sz w:val="16"/>
        </w:rPr>
        <w:t>7. All analyses based on the  population.</w:t>
        <w:br/>
      </w:r>
      <w:r>
        <w:rPr>
          <w:rFonts w:ascii="Arial" w:hAnsi="Arial"/>
          <w:i/>
          <w:sz w:val="16"/>
        </w:rPr>
        <w:t>8. logistic</w:t>
        <w:br/>
      </w:r>
      <w:r>
        <w:rPr>
          <w:rFonts w:ascii="Arial" w:hAnsi="Arial"/>
          <w:i/>
          <w:sz w:val="16"/>
        </w:rPr>
        <w:t>9. ci_exact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14.2.5: ORR based on BOR during the Whole Study Period by RECIST v.1.1 (Central Review) (ITT Population)</w:t>
      </w:r>
    </w:p>
    <w:p>
      <w:r>
        <w:rPr>
          <w:rFonts w:ascii="Arial" w:hAnsi="Arial"/>
          <w:color w:val="646464"/>
          <w:sz w:val="16"/>
        </w:rPr>
        <w:t>Source Dataset: ADRS  |  Population: ITT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Evaluable subjects, 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Responders,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Logistic Regression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Odds Ratio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 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 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 [xx.x, xx.x]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P-value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x.xxxx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Covariates in Model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CR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PR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PD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Logistic regression model.</w:t>
        <w:br/>
      </w:r>
      <w:r>
        <w:rPr>
          <w:rFonts w:ascii="Arial" w:hAnsi="Arial"/>
          <w:i/>
          <w:sz w:val="16"/>
        </w:rPr>
        <w:t>4. Risk difference and 95% CI estimated by Miettinen-Nurminen method. Equivalence margin: -12.5% to 12.5%.</w:t>
        <w:br/>
      </w:r>
      <w:r>
        <w:rPr>
          <w:rFonts w:ascii="Arial" w:hAnsi="Arial"/>
          <w:i/>
          <w:sz w:val="16"/>
        </w:rPr>
        <w:t>5. Response rate and 95% CI calculated using Clopper-Pearson exact method.</w:t>
        <w:br/>
      </w:r>
      <w:r>
        <w:rPr>
          <w:rFonts w:ascii="Arial" w:hAnsi="Arial"/>
          <w:i/>
          <w:sz w:val="16"/>
        </w:rPr>
        <w:t>6. Response assessed per RECIST 1.1.</w:t>
        <w:br/>
      </w:r>
      <w:r>
        <w:rPr>
          <w:rFonts w:ascii="Arial" w:hAnsi="Arial"/>
          <w:i/>
          <w:sz w:val="16"/>
        </w:rPr>
        <w:t>7. All analyses based on the  population.</w:t>
        <w:br/>
      </w:r>
      <w:r>
        <w:rPr>
          <w:rFonts w:ascii="Arial" w:hAnsi="Arial"/>
          <w:i/>
          <w:sz w:val="16"/>
        </w:rPr>
        <w:t>8. logistic</w:t>
        <w:br/>
      </w:r>
      <w:r>
        <w:rPr>
          <w:rFonts w:ascii="Arial" w:hAnsi="Arial"/>
          <w:i/>
          <w:sz w:val="16"/>
        </w:rPr>
        <w:t>9. ci_exact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14.2.6: ORR based on BOR during the Whole Study Period by RECIST v.1.1 (Local Review) (ITT Population)</w:t>
      </w:r>
    </w:p>
    <w:p>
      <w:r>
        <w:rPr>
          <w:rFonts w:ascii="Arial" w:hAnsi="Arial"/>
          <w:color w:val="646464"/>
          <w:sz w:val="16"/>
        </w:rPr>
        <w:t>Source Dataset: ADRS  |  Population: ITT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Evaluable subjects, 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Responders,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Logistic Regression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Odds Ratio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 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 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 [xx.x, xx.x]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P-value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x.xxxx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Covariates in Model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CR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PR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PD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Logistic regression model.</w:t>
        <w:br/>
      </w:r>
      <w:r>
        <w:rPr>
          <w:rFonts w:ascii="Arial" w:hAnsi="Arial"/>
          <w:i/>
          <w:sz w:val="16"/>
        </w:rPr>
        <w:t>4. Risk difference and 95% CI estimated by Miettinen-Nurminen method. Equivalence margin: -12.5% to 12.5%.</w:t>
        <w:br/>
      </w:r>
      <w:r>
        <w:rPr>
          <w:rFonts w:ascii="Arial" w:hAnsi="Arial"/>
          <w:i/>
          <w:sz w:val="16"/>
        </w:rPr>
        <w:t>5. Response rate and 95% CI calculated using Clopper-Pearson exact method.</w:t>
        <w:br/>
      </w:r>
      <w:r>
        <w:rPr>
          <w:rFonts w:ascii="Arial" w:hAnsi="Arial"/>
          <w:i/>
          <w:sz w:val="16"/>
        </w:rPr>
        <w:t>6. Response assessed per RECIST 1.1.</w:t>
        <w:br/>
      </w:r>
      <w:r>
        <w:rPr>
          <w:rFonts w:ascii="Arial" w:hAnsi="Arial"/>
          <w:i/>
          <w:sz w:val="16"/>
        </w:rPr>
        <w:t>7. All analyses based on the  population.</w:t>
        <w:br/>
      </w:r>
      <w:r>
        <w:rPr>
          <w:rFonts w:ascii="Arial" w:hAnsi="Arial"/>
          <w:i/>
          <w:sz w:val="16"/>
        </w:rPr>
        <w:t>8. logistic</w:t>
        <w:br/>
      </w:r>
      <w:r>
        <w:rPr>
          <w:rFonts w:ascii="Arial" w:hAnsi="Arial"/>
          <w:i/>
          <w:sz w:val="16"/>
        </w:rPr>
        <w:t>9. ci_exact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14.2.7: ORR based on BOR during the Whole Study Period by RECIST v.1.1 (Central Review) (PP Population)</w:t>
      </w:r>
    </w:p>
    <w:p>
      <w:r>
        <w:rPr>
          <w:rFonts w:ascii="Arial" w:hAnsi="Arial"/>
          <w:color w:val="646464"/>
          <w:sz w:val="16"/>
        </w:rPr>
        <w:t>Source Dataset: ADRS  |  Population: PP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Evaluable subjects, 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Responders,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Logistic Regression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Odds Ratio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 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 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 [xx.x, xx.x]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P-value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x.xxxx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Covariates in Model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CR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PR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PD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Per-Protocol Population: ITT excluding subjects with major protocol deviations.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Logistic regression model.</w:t>
        <w:br/>
      </w:r>
      <w:r>
        <w:rPr>
          <w:rFonts w:ascii="Arial" w:hAnsi="Arial"/>
          <w:i/>
          <w:sz w:val="16"/>
        </w:rPr>
        <w:t>4. Risk difference and 95% CI estimated by Miettinen-Nurminen method. Equivalence margin: -12.5% to 12.5%.</w:t>
        <w:br/>
      </w:r>
      <w:r>
        <w:rPr>
          <w:rFonts w:ascii="Arial" w:hAnsi="Arial"/>
          <w:i/>
          <w:sz w:val="16"/>
        </w:rPr>
        <w:t>5. Response rate and 95% CI calculated using Clopper-Pearson exact method.</w:t>
        <w:br/>
      </w:r>
      <w:r>
        <w:rPr>
          <w:rFonts w:ascii="Arial" w:hAnsi="Arial"/>
          <w:i/>
          <w:sz w:val="16"/>
        </w:rPr>
        <w:t>6. Response assessed per RECIST 1.1.</w:t>
        <w:br/>
      </w:r>
      <w:r>
        <w:rPr>
          <w:rFonts w:ascii="Arial" w:hAnsi="Arial"/>
          <w:i/>
          <w:sz w:val="16"/>
        </w:rPr>
        <w:t>7. All analyses based on the  population.</w:t>
        <w:br/>
      </w:r>
      <w:r>
        <w:rPr>
          <w:rFonts w:ascii="Arial" w:hAnsi="Arial"/>
          <w:i/>
          <w:sz w:val="16"/>
        </w:rPr>
        <w:t>8. logistic</w:t>
        <w:br/>
      </w:r>
      <w:r>
        <w:rPr>
          <w:rFonts w:ascii="Arial" w:hAnsi="Arial"/>
          <w:i/>
          <w:sz w:val="16"/>
        </w:rPr>
        <w:t>9. ci_exact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14.2.8: ORR based on BOR during the Whole Study Period by RECIST v.1.1 (Local Review) (PP Population)</w:t>
      </w:r>
    </w:p>
    <w:p>
      <w:r>
        <w:rPr>
          <w:rFonts w:ascii="Arial" w:hAnsi="Arial"/>
          <w:color w:val="646464"/>
          <w:sz w:val="16"/>
        </w:rPr>
        <w:t>Source Dataset: ADRS  |  Population: PP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Evaluable subjects, 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Responders,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Logistic Regression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Odds Ratio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 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 [xx.x, xx.x]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 [xx.x, xx.x]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P-value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x.xxxx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Covariates in Model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CR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PR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PD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Per-Protocol Population: ITT excluding subjects with major protocol deviations.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Logistic regression model.</w:t>
        <w:br/>
      </w:r>
      <w:r>
        <w:rPr>
          <w:rFonts w:ascii="Arial" w:hAnsi="Arial"/>
          <w:i/>
          <w:sz w:val="16"/>
        </w:rPr>
        <w:t>4. Risk difference and 95% CI estimated by Miettinen-Nurminen method. Equivalence margin: -12.5% to 12.5%.</w:t>
        <w:br/>
      </w:r>
      <w:r>
        <w:rPr>
          <w:rFonts w:ascii="Arial" w:hAnsi="Arial"/>
          <w:i/>
          <w:sz w:val="16"/>
        </w:rPr>
        <w:t>5. Response rate and 95% CI calculated using Clopper-Pearson exact method.</w:t>
        <w:br/>
      </w:r>
      <w:r>
        <w:rPr>
          <w:rFonts w:ascii="Arial" w:hAnsi="Arial"/>
          <w:i/>
          <w:sz w:val="16"/>
        </w:rPr>
        <w:t>6. Response assessed per RECIST 1.1.</w:t>
        <w:br/>
      </w:r>
      <w:r>
        <w:rPr>
          <w:rFonts w:ascii="Arial" w:hAnsi="Arial"/>
          <w:i/>
          <w:sz w:val="16"/>
        </w:rPr>
        <w:t>7. All analyses based on the  population.</w:t>
        <w:br/>
      </w:r>
      <w:r>
        <w:rPr>
          <w:rFonts w:ascii="Arial" w:hAnsi="Arial"/>
          <w:i/>
          <w:sz w:val="16"/>
        </w:rPr>
        <w:t>8. logistic</w:t>
        <w:br/>
      </w:r>
      <w:r>
        <w:rPr>
          <w:rFonts w:ascii="Arial" w:hAnsi="Arial"/>
          <w:i/>
          <w:sz w:val="16"/>
        </w:rPr>
        <w:t>9. ci_exact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14.2.9: Response duration: the time between initial response (CR or PR) and PD/recurrence (ITT Population)</w:t>
      </w:r>
    </w:p>
    <w:p>
      <w:r>
        <w:rPr>
          <w:rFonts w:ascii="Arial" w:hAnsi="Arial"/>
          <w:color w:val="646464"/>
          <w:sz w:val="16"/>
        </w:rPr>
        <w:t>Source Dataset: ADTTE  |  Population: ITT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Number of events,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Number censored,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Median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Hazard Ratio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P-value (log-rank)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6-month rate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12-month rate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Kaplan-Meier estimates; 95% CI by Brookmeyer-Crowley method.</w:t>
        <w:br/>
      </w:r>
      <w:r>
        <w:rPr>
          <w:rFonts w:ascii="Arial" w:hAnsi="Arial"/>
          <w:i/>
          <w:sz w:val="16"/>
        </w:rPr>
        <w:t>4. Median follow-up estimated by reverse Kaplan-Meier method.</w:t>
        <w:br/>
      </w:r>
      <w:r>
        <w:rPr>
          <w:rFonts w:ascii="Arial" w:hAnsi="Arial"/>
          <w:i/>
          <w:sz w:val="16"/>
        </w:rPr>
        <w:t>5. All analyses based on the  population.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14.2.10: Response duration: the time between initial response (CR or PR) and PD/recurrence (PP Population)</w:t>
      </w:r>
    </w:p>
    <w:p>
      <w:r>
        <w:rPr>
          <w:rFonts w:ascii="Arial" w:hAnsi="Arial"/>
          <w:color w:val="646464"/>
          <w:sz w:val="16"/>
        </w:rPr>
        <w:t>Source Dataset: ADTTE  |  Population: PP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Number of events,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Number censored,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Median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Hazard Ratio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P-value (log-rank)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6-month rate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12-month rate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Per-Protocol Population: ITT excluding subjects with major protocol deviations.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Kaplan-Meier estimates; 95% CI by Brookmeyer-Crowley method.</w:t>
        <w:br/>
      </w:r>
      <w:r>
        <w:rPr>
          <w:rFonts w:ascii="Arial" w:hAnsi="Arial"/>
          <w:i/>
          <w:sz w:val="16"/>
        </w:rPr>
        <w:t>4. Median follow-up estimated by reverse Kaplan-Meier method.</w:t>
        <w:br/>
      </w:r>
      <w:r>
        <w:rPr>
          <w:rFonts w:ascii="Arial" w:hAnsi="Arial"/>
          <w:i/>
          <w:sz w:val="16"/>
        </w:rPr>
        <w:t>5. All analyses based on the  population.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14.2.11: TTP: the time from randomization until PD/recurrence (ITT Population)</w:t>
      </w:r>
    </w:p>
    <w:p>
      <w:r>
        <w:rPr>
          <w:rFonts w:ascii="Arial" w:hAnsi="Arial"/>
          <w:color w:val="646464"/>
          <w:sz w:val="16"/>
        </w:rPr>
        <w:t>Source Dataset: ADTTE  |  Population: ITT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Number of events,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Number censored,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Median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Hazard Ratio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P-value (log-rank)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6-month rate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12-month rate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Kaplan-Meier estimates; 95% CI by Brookmeyer-Crowley method.</w:t>
        <w:br/>
      </w:r>
      <w:r>
        <w:rPr>
          <w:rFonts w:ascii="Arial" w:hAnsi="Arial"/>
          <w:i/>
          <w:sz w:val="16"/>
        </w:rPr>
        <w:t>4. Median follow-up estimated by reverse Kaplan-Meier method.</w:t>
        <w:br/>
      </w:r>
      <w:r>
        <w:rPr>
          <w:rFonts w:ascii="Arial" w:hAnsi="Arial"/>
          <w:i/>
          <w:sz w:val="16"/>
        </w:rPr>
        <w:t>5. All analyses based on the  population.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14.2.12: TTP: the time from randomization until PD/recurrence (PP Population)</w:t>
      </w:r>
    </w:p>
    <w:p>
      <w:r>
        <w:rPr>
          <w:rFonts w:ascii="Arial" w:hAnsi="Arial"/>
          <w:color w:val="646464"/>
          <w:sz w:val="16"/>
        </w:rPr>
        <w:t>Source Dataset: ADTTE  |  Population: PP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Number of events,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Number censored,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Median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Hazard Ratio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P-value (log-rank)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6-month rate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12-month rate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Per-Protocol Population: ITT excluding subjects with major protocol deviations.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Kaplan-Meier estimates; 95% CI by Brookmeyer-Crowley method.</w:t>
        <w:br/>
      </w:r>
      <w:r>
        <w:rPr>
          <w:rFonts w:ascii="Arial" w:hAnsi="Arial"/>
          <w:i/>
          <w:sz w:val="16"/>
        </w:rPr>
        <w:t>4. Median follow-up estimated by reverse Kaplan-Meier method.</w:t>
        <w:br/>
      </w:r>
      <w:r>
        <w:rPr>
          <w:rFonts w:ascii="Arial" w:hAnsi="Arial"/>
          <w:i/>
          <w:sz w:val="16"/>
        </w:rPr>
        <w:t>5. All analyses based on the  population.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14.2.13: PFS: the time from randomization until PD/recurrence or death due to any cause, whichever occurs first (ITT Population)</w:t>
      </w:r>
    </w:p>
    <w:p>
      <w:r>
        <w:rPr>
          <w:rFonts w:ascii="Arial" w:hAnsi="Arial"/>
          <w:color w:val="646464"/>
          <w:sz w:val="16"/>
        </w:rPr>
        <w:t>Source Dataset: ADTTE  |  Population: ITT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Number of events,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Number censored,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Median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Hazard Ratio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P-value (log-rank)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6-month rate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12-month rate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Kaplan-Meier estimates; 95% CI by Brookmeyer-Crowley method.</w:t>
        <w:br/>
      </w:r>
      <w:r>
        <w:rPr>
          <w:rFonts w:ascii="Arial" w:hAnsi="Arial"/>
          <w:i/>
          <w:sz w:val="16"/>
        </w:rPr>
        <w:t>4. Median follow-up estimated by reverse Kaplan-Meier method.</w:t>
        <w:br/>
      </w:r>
      <w:r>
        <w:rPr>
          <w:rFonts w:ascii="Arial" w:hAnsi="Arial"/>
          <w:i/>
          <w:sz w:val="16"/>
        </w:rPr>
        <w:t>5. All analyses based on the  population.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14.2.14: PFS: the time from randomization until PD/recurrence or death due to any cause, whichever occurs first (PP Population)</w:t>
      </w:r>
    </w:p>
    <w:p>
      <w:r>
        <w:rPr>
          <w:rFonts w:ascii="Arial" w:hAnsi="Arial"/>
          <w:color w:val="646464"/>
          <w:sz w:val="16"/>
        </w:rPr>
        <w:t>Source Dataset: ADTTE  |  Population: PP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Number of events,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Number censored,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Median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Hazard Ratio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P-value (log-rank)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6-month rate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12-month rate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Per-Protocol Population: ITT excluding subjects with major protocol deviations.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Kaplan-Meier estimates; 95% CI by Brookmeyer-Crowley method.</w:t>
        <w:br/>
      </w:r>
      <w:r>
        <w:rPr>
          <w:rFonts w:ascii="Arial" w:hAnsi="Arial"/>
          <w:i/>
          <w:sz w:val="16"/>
        </w:rPr>
        <w:t>4. Median follow-up estimated by reverse Kaplan-Meier method.</w:t>
        <w:br/>
      </w:r>
      <w:r>
        <w:rPr>
          <w:rFonts w:ascii="Arial" w:hAnsi="Arial"/>
          <w:i/>
          <w:sz w:val="16"/>
        </w:rPr>
        <w:t>5. All analyses based on the  population.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14.2.15: OS: the time from randomization until death due to any cause (ITT Population)</w:t>
      </w:r>
    </w:p>
    <w:p>
      <w:r>
        <w:rPr>
          <w:rFonts w:ascii="Arial" w:hAnsi="Arial"/>
          <w:color w:val="646464"/>
          <w:sz w:val="16"/>
        </w:rPr>
        <w:t>Source Dataset: ADTTE  |  Population: ITT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Number of events,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Number censored,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Median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Hazard Ratio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P-value (log-rank)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6-month rate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12-month rate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Kaplan-Meier estimates; 95% CI by Brookmeyer-Crowley method.</w:t>
        <w:br/>
      </w:r>
      <w:r>
        <w:rPr>
          <w:rFonts w:ascii="Arial" w:hAnsi="Arial"/>
          <w:i/>
          <w:sz w:val="16"/>
        </w:rPr>
        <w:t>4. Median follow-up estimated by reverse Kaplan-Meier method.</w:t>
        <w:br/>
      </w:r>
      <w:r>
        <w:rPr>
          <w:rFonts w:ascii="Arial" w:hAnsi="Arial"/>
          <w:i/>
          <w:sz w:val="16"/>
        </w:rPr>
        <w:t>5. All analyses based on the  population.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14.2.16: OS: the time from randomization until death due to any cause (PP Population)</w:t>
      </w:r>
    </w:p>
    <w:p>
      <w:r>
        <w:rPr>
          <w:rFonts w:ascii="Arial" w:hAnsi="Arial"/>
          <w:color w:val="646464"/>
          <w:sz w:val="16"/>
        </w:rPr>
        <w:t>Source Dataset: ADTTE  |  Population: PP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Number of events,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Number censored,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Median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Hazard Ratio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P-value (log-rank)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6-month rate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12-month rate [95% CI]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Per-Protocol Population: ITT excluding subjects with major protocol deviations.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Kaplan-Meier estimates; 95% CI by Brookmeyer-Crowley method.</w:t>
        <w:br/>
      </w:r>
      <w:r>
        <w:rPr>
          <w:rFonts w:ascii="Arial" w:hAnsi="Arial"/>
          <w:i/>
          <w:sz w:val="16"/>
        </w:rPr>
        <w:t>4. Median follow-up estimated by reverse Kaplan-Meier method.</w:t>
        <w:br/>
      </w:r>
      <w:r>
        <w:rPr>
          <w:rFonts w:ascii="Arial" w:hAnsi="Arial"/>
          <w:i/>
          <w:sz w:val="16"/>
        </w:rPr>
        <w:t>5. All analyses based on the  population.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14.2.17: Ctrough: Trough serum concentration (PK Population)</w:t>
      </w:r>
    </w:p>
    <w:p>
      <w:r>
        <w:rPr>
          <w:rFonts w:ascii="Arial" w:hAnsi="Arial"/>
          <w:color w:val="646464"/>
          <w:sz w:val="16"/>
        </w:rPr>
        <w:t>Source Dataset: ADEFF  |  Population: PK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 / Visit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Mean (SD)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Min, Max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Baseline Mean (SD)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Post-baseline Mean (SD)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LS Mean Change from Baseline (SE)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LS Mean Difference [95% CI]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P-value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PK Evaluable Population: All subjects with at least one evaluable PK sample.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All analyses based on the  population.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14.3.5: AESI - hypersensitivity/infusion-related reactions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Subjects with at least one event,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By System Organ Class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By Preferred Term,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By Severity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1 (Mild),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2 (Moderate),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3 (Severe),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4 (Life-threatening),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5 (Death),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Treatment-related,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Serious,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Leading to study drug discontinuation,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Adverse events of special interest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14.3.6: AESI - gastrointestinal perforations and fistulae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Subjects with at least one event,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By System Organ Class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By Preferred Term,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By Severity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1 (Mild),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2 (Moderate),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3 (Severe),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4 (Life-threatening),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5 (Death),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Treatment-related,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Serious,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Leading to study drug discontinuation,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Adverse events of special interest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14.3.7: AESI - wound healing complications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Subjects with at least one event,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By System Organ Class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By Preferred Term,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By Severity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1 (Mild),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2 (Moderate),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3 (Severe),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4 (Life-threatening),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5 (Death),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Treatment-related,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Serious,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Leading to study drug discontinuation,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Adverse events of special interest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14.3.8: AESI - hypertension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Subjects with at least one event,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By System Organ Class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By Preferred Term,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By Severity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1 (Mild),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2 (Moderate),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3 (Severe),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4 (Life-threatening),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5 (Death),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Treatment-related,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Serious,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Leading to study drug discontinuation,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Adverse events of special interest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14.3.9: AESI - posterior reversible encephalopathy syndrome (PRES)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Subjects with at least one event,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By System Organ Class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By Preferred Term,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By Severity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1 (Mild),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2 (Moderate),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3 (Severe),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4 (Life-threatening),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5 (Death),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Treatment-related,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Serious,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Leading to study drug discontinuation,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Adverse events of special interest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14.3.10: AESI - proteinuria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Subjects with at least one event,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By System Organ Class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By Preferred Term,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By Severity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1 (Mild),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2 (Moderate),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3 (Severe),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4 (Life-threatening),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5 (Death),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Treatment-related,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Serious,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Leading to study drug discontinuation,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Adverse events of special interest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14.3.11: AESI - arterial thromboembolism (ATE)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Subjects with at least one event,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By System Organ Class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By Preferred Term,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By Severity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1 (Mild),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2 (Moderate),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3 (Severe),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4 (Life-threatening),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5 (Death),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Treatment-related,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Serious,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Leading to study drug discontinuation,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Adverse events of special interest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14.3.12: AESI - venous thromboembolism (VTE)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Subjects with at least one event,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By System Organ Class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By Preferred Term,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By Severity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1 (Mild),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2 (Moderate),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3 (Severe),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4 (Life-threatening),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5 (Death),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Treatment-related,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Serious,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Leading to study drug discontinuation,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Adverse events of special interest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14.3.13: AESI - hemorrhages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Subjects with at least one event,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By System Organ Class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By Preferred Term,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By Severity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1 (Mild),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2 (Moderate),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3 (Severe),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4 (Life-threatening),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5 (Death),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Treatment-related,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Serious,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Leading to study drug discontinuation,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Adverse events of special interest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14.3.14: AESI - congestive heart failure (CHF)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Subjects with at least one event,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By System Organ Class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By Preferred Term,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By Severity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1 (Mild),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2 (Moderate),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3 (Severe),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4 (Life-threatening),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5 (Death),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Treatment-related,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Serious,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Leading to study drug discontinuation,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Adverse events of special interest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14.3.15: AESI - ovarian failure/fertility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Subjects with at least one event,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By System Organ Class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By Preferred Term,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By Severity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1 (Mild),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2 (Moderate),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3 (Severe),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4 (Life-threatening),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5 (Death),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Treatment-related,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Serious,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Leading to study drug discontinuation,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Adverse events of special interest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14.3.16: Hematology Parameters - Summary Statistics (Safety Population)</w:t>
      </w:r>
    </w:p>
    <w:p>
      <w:r>
        <w:rPr>
          <w:rFonts w:ascii="Arial" w:hAnsi="Arial"/>
          <w:color w:val="646464"/>
          <w:sz w:val="16"/>
        </w:rPr>
        <w:t>Source Dataset: ADSL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14.3.17: Clinical Chemistry Parameters - Summary Statistics (Safety Population)</w:t>
      </w:r>
    </w:p>
    <w:p>
      <w:r>
        <w:rPr>
          <w:rFonts w:ascii="Arial" w:hAnsi="Arial"/>
          <w:color w:val="646464"/>
          <w:sz w:val="16"/>
        </w:rPr>
        <w:t>Source Dataset: ADSL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14.3.18: Urinalysis Parameters - Summary Statistics (Safety Population)</w:t>
      </w:r>
    </w:p>
    <w:p>
      <w:r>
        <w:rPr>
          <w:rFonts w:ascii="Arial" w:hAnsi="Arial"/>
          <w:color w:val="646464"/>
          <w:sz w:val="16"/>
        </w:rPr>
        <w:t>Source Dataset: ADSL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14.3.19: Hematology Parameters - Shift Table (Baseline to Worst Post-Baseline) (Safety Population)</w:t>
      </w:r>
    </w:p>
    <w:p>
      <w:r>
        <w:rPr>
          <w:rFonts w:ascii="Arial" w:hAnsi="Arial"/>
          <w:color w:val="646464"/>
          <w:sz w:val="16"/>
        </w:rPr>
        <w:t>Source Dataset: ADLB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Post-baseline Normal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Post-baseline Low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Post-baseline High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/>
                <w:sz w:val="18"/>
              </w:rPr>
              <w:t>Parameter (Unit)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Baseline Category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Normal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Low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High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14.3.20: Clinical Chemistry Parameters - Shift Table (Baseline to Worst Post-Baseline) (Safety Population)</w:t>
      </w:r>
    </w:p>
    <w:p>
      <w:r>
        <w:rPr>
          <w:rFonts w:ascii="Arial" w:hAnsi="Arial"/>
          <w:color w:val="646464"/>
          <w:sz w:val="16"/>
        </w:rPr>
        <w:t>Source Dataset: ADLB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Post-baseline Normal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Post-baseline Low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Post-baseline High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/>
                <w:sz w:val="18"/>
              </w:rPr>
              <w:t>Parameter (Unit)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Baseline Category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Normal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Low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High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14.3.21: Laboratory Parameters - CTCAE Grade Summary (Safety Population)</w:t>
      </w:r>
    </w:p>
    <w:p>
      <w:r>
        <w:rPr>
          <w:rFonts w:ascii="Arial" w:hAnsi="Arial"/>
          <w:color w:val="646464"/>
          <w:sz w:val="16"/>
        </w:rPr>
        <w:t>Source Dataset: ADLB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 / Visit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Mean (SD)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Min, Max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Mean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SD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Median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Min, Max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14.3.22: Laboratory Parameters - CTCAE Grade Shift (Baseline to Worst Post-Baseline) (Safety Population)</w:t>
      </w:r>
    </w:p>
    <w:p>
      <w:r>
        <w:rPr>
          <w:rFonts w:ascii="Arial" w:hAnsi="Arial"/>
          <w:color w:val="646464"/>
          <w:sz w:val="16"/>
        </w:rPr>
        <w:t>Source Dataset: ADLB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Post-baseline Normal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Post-baseline Low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Post-baseline High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/>
                <w:sz w:val="18"/>
              </w:rPr>
              <w:t>Parameter (Unit)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Baseline Category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Normal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Low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High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14.3.23: Subjects with Markedly Abnormal Laboratory Values (Safety Population)</w:t>
      </w:r>
    </w:p>
    <w:p>
      <w:r>
        <w:rPr>
          <w:rFonts w:ascii="Arial" w:hAnsi="Arial"/>
          <w:color w:val="646464"/>
          <w:sz w:val="16"/>
        </w:rPr>
        <w:t>Source Dataset: ADLB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 / Visit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Mean (SD)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Min, Max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Mean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SD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Median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Min, Max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14.3.24: Vital Signs - Summary Statistics by Visit (Safety Population)</w:t>
      </w:r>
    </w:p>
    <w:p>
      <w:r>
        <w:rPr>
          <w:rFonts w:ascii="Arial" w:hAnsi="Arial"/>
          <w:color w:val="646464"/>
          <w:sz w:val="16"/>
        </w:rPr>
        <w:t>Source Dataset: ADVS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 / Visit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Mean (SD)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Min, Max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Mean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SD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Median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Min, Max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14.3.25: Vital Signs - Change from Baseline by Visit (Safety Population)</w:t>
      </w:r>
    </w:p>
    <w:p>
      <w:r>
        <w:rPr>
          <w:rFonts w:ascii="Arial" w:hAnsi="Arial"/>
          <w:color w:val="646464"/>
          <w:sz w:val="16"/>
        </w:rPr>
        <w:t>Source Dataset: ADVS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 / Visit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Mean (SD)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Min, Max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Mean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SD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Median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Min, Max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14.3.26: Subjects with Markedly Abnormal Vital Sign Values (Safety Population)</w:t>
      </w:r>
    </w:p>
    <w:p>
      <w:r>
        <w:rPr>
          <w:rFonts w:ascii="Arial" w:hAnsi="Arial"/>
          <w:color w:val="646464"/>
          <w:sz w:val="16"/>
        </w:rPr>
        <w:t>Source Dataset: ADVS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 / Visit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Mean (SD)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Min, Max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Mean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SD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Median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Min, Max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14.3.27: Electrocardiogram Parameters - Summary by Visit (Safety Population)</w:t>
      </w:r>
    </w:p>
    <w:p>
      <w:r>
        <w:rPr>
          <w:rFonts w:ascii="Arial" w:hAnsi="Arial"/>
          <w:color w:val="646464"/>
          <w:sz w:val="16"/>
        </w:rPr>
        <w:t>Source Dataset: ADEG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 / Visit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Mean (SD)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Min, Max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14.3.28: Electrocardiogram - Qualitative Results (Safety Population)</w:t>
      </w:r>
    </w:p>
    <w:p>
      <w:r>
        <w:rPr>
          <w:rFonts w:ascii="Arial" w:hAnsi="Arial"/>
          <w:color w:val="646464"/>
          <w:sz w:val="16"/>
        </w:rPr>
        <w:t>Source Dataset: ADEG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 / Visit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Mean (SD)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Min, Max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14.3.29: QTcF Change from Baseline - Categorical Analysis (Safety Population)</w:t>
      </w:r>
    </w:p>
    <w:p>
      <w:r>
        <w:rPr>
          <w:rFonts w:ascii="Arial" w:hAnsi="Arial"/>
          <w:color w:val="646464"/>
          <w:sz w:val="16"/>
        </w:rPr>
        <w:t>Source Dataset: ADEG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 / Visit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Mean (SD)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Min, Max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14.4.1: Plasma Drug Concentration by Visit - Summary Statistics (PK Population)</w:t>
      </w:r>
    </w:p>
    <w:p>
      <w:r>
        <w:rPr>
          <w:rFonts w:ascii="Arial" w:hAnsi="Arial"/>
          <w:color w:val="646464"/>
          <w:sz w:val="16"/>
        </w:rPr>
        <w:t>Source Dataset: ADPC  |  Population: PK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 / Visit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Mean (SD)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Min, Max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</w:tbl>
    <w:p>
      <w:r>
        <w:rPr>
          <w:rFonts w:ascii="Arial" w:hAnsi="Arial"/>
          <w:i/>
          <w:sz w:val="16"/>
        </w:rPr>
        <w:t>1. PK Evaluable Population: All subjects with at least one evaluable PK sample.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14.4.2: PK Parameters - Summary Statistics</w:t>
      </w:r>
    </w:p>
    <w:p>
      <w:r>
        <w:rPr>
          <w:rFonts w:ascii="Arial" w:hAnsi="Arial"/>
          <w:color w:val="646464"/>
          <w:sz w:val="16"/>
        </w:rPr>
        <w:t>Source Dataset: ADPP  |  Population: PK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 / Visit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Mean (SD)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Min, Max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/>
                <w:sz w:val="18"/>
              </w:rPr>
              <w:t>Parameter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CV%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Min, Max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Geometric Mean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Geometric CV%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</w:tbl>
    <w:p>
      <w:r>
        <w:rPr>
          <w:rFonts w:ascii="Arial" w:hAnsi="Arial"/>
          <w:i/>
          <w:sz w:val="16"/>
        </w:rPr>
        <w:t>1. PK Evaluable Population: All subjects with at least one evaluable PK sample.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14.4.3: Immunogenicity - Anti-Drug Antibody Incidence (Safety Population)</w:t>
      </w:r>
    </w:p>
    <w:p>
      <w:r>
        <w:rPr>
          <w:rFonts w:ascii="Arial" w:hAnsi="Arial"/>
          <w:color w:val="646464"/>
          <w:sz w:val="16"/>
        </w:rPr>
        <w:t>Source Dataset: ADAB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ADA Evaluable, 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ADA Status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ADA Positive,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  Treatment-emergent,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  Treatment-boosted,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ADA Negative,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Neutralizing Antibody (NAb)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NAb Evaluable, 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NAb Positive,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NAb Negative,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ADA Titer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 titer (range)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14.4.4: Immunogenicity - Neutralizing Antibody Status (Safety Population)</w:t>
      </w:r>
    </w:p>
    <w:p>
      <w:r>
        <w:rPr>
          <w:rFonts w:ascii="Arial" w:hAnsi="Arial"/>
          <w:color w:val="646464"/>
          <w:sz w:val="16"/>
        </w:rPr>
        <w:t>Source Dataset: ADAB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ADA Evaluable, 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ADA Status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ADA Positive,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  Treatment-emergent,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  Treatment-boosted,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ADA Negative,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Neutralizing Antibody (NAb)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NAb Evaluable, 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NAb Positive,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NAb Negative, n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ADA Titer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 titer (range)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14.3.30: TEAEs by ADA Status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14.2.18: EORTC QLQ-C30 - Summary by Visit (ITT Population)</w:t>
      </w:r>
    </w:p>
    <w:p>
      <w:r>
        <w:rPr>
          <w:rFonts w:ascii="Arial" w:hAnsi="Arial"/>
          <w:color w:val="646464"/>
          <w:sz w:val="16"/>
        </w:rPr>
        <w:t>Source Dataset: ADQS  |  Population: ITT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14.2.19: EORTC QLQ-C30 - Change from Baseline (ITT Population)</w:t>
      </w:r>
    </w:p>
    <w:p>
      <w:r>
        <w:rPr>
          <w:rFonts w:ascii="Arial" w:hAnsi="Arial"/>
          <w:color w:val="646464"/>
          <w:sz w:val="16"/>
        </w:rPr>
        <w:t>Source Dataset: ADQS  |  Population: ITT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14.2.20: EORTC QLQ-LC13 - Summary by Visit (ITT Population)</w:t>
      </w:r>
    </w:p>
    <w:p>
      <w:r>
        <w:rPr>
          <w:rFonts w:ascii="Arial" w:hAnsi="Arial"/>
          <w:color w:val="646464"/>
          <w:sz w:val="16"/>
        </w:rPr>
        <w:t>Source Dataset: ADQS  |  Population: ITT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14.2.21: EORTC QLQ-LC13 - Change from Baseline (ITT Population)</w:t>
      </w:r>
    </w:p>
    <w:p>
      <w:r>
        <w:rPr>
          <w:rFonts w:ascii="Arial" w:hAnsi="Arial"/>
          <w:color w:val="646464"/>
          <w:sz w:val="16"/>
        </w:rPr>
        <w:t>Source Dataset: ADQS  |  Population: ITT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14.3.31: Physical Examination - Shift Table (Safety Population)</w:t>
      </w:r>
    </w:p>
    <w:p>
      <w:r>
        <w:rPr>
          <w:rFonts w:ascii="Arial" w:hAnsi="Arial"/>
          <w:color w:val="646464"/>
          <w:sz w:val="16"/>
        </w:rPr>
        <w:t>Source Dataset: ADLB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 / Visit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Mean (SD)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Min, Max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Mean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SD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Median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Min, Max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14.3.32: ECOG Performance Status by Visit (Safety Population)</w:t>
      </w:r>
    </w:p>
    <w:p>
      <w:r>
        <w:rPr>
          <w:rFonts w:ascii="Arial" w:hAnsi="Arial"/>
          <w:color w:val="646464"/>
          <w:sz w:val="16"/>
        </w:rPr>
        <w:t>Source Dataset: ADLB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 / Visit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Mean (SD)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Min, Max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Mean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SD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Median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Min, Max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14.3.33: ECOG Performance Status - Shift Table (Baseline to Worst Post-Baseline) (Safety Population)</w:t>
      </w:r>
    </w:p>
    <w:p>
      <w:r>
        <w:rPr>
          <w:rFonts w:ascii="Arial" w:hAnsi="Arial"/>
          <w:color w:val="646464"/>
          <w:sz w:val="16"/>
        </w:rPr>
        <w:t>Source Dataset: ADLB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Post-baseline Normal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Post-baseline Low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Post-baseline High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/>
                <w:sz w:val="18"/>
              </w:rPr>
              <w:t>Parameter (Unit)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Baseline Category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Normal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Low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High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14.3.34: Pregnancy Test Summary (Safety Population)</w:t>
      </w:r>
    </w:p>
    <w:p>
      <w:r>
        <w:rPr>
          <w:rFonts w:ascii="Arial" w:hAnsi="Arial"/>
          <w:color w:val="646464"/>
          <w:sz w:val="16"/>
        </w:rPr>
        <w:t>Source Dataset: ADLB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 / Visit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Mean (SD)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Min, Max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Mean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SD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Median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Min, Max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14.3.35: Viral Serology (ITT Population)</w:t>
      </w:r>
    </w:p>
    <w:p>
      <w:r>
        <w:rPr>
          <w:rFonts w:ascii="Arial" w:hAnsi="Arial"/>
          <w:color w:val="646464"/>
          <w:sz w:val="16"/>
        </w:rPr>
        <w:t>Source Dataset: ADLB  |  Population: ITT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 / Visit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Mean (SD)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Min, Max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Mean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SD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Median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Min, Max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14.3.36: Paclitaxel Exposure (Safety Population)</w:t>
      </w:r>
    </w:p>
    <w:p>
      <w:r>
        <w:rPr>
          <w:rFonts w:ascii="Arial" w:hAnsi="Arial"/>
          <w:color w:val="646464"/>
          <w:sz w:val="16"/>
        </w:rPr>
        <w:t>Source Dataset: ADEX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Number of subjects treated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Duration of Treatment (weeks)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Min, Max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Number of Doses/Cycles Received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Min, Max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Cumulative Dose ({unit})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Relative Dose Intensity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Min, Max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14.3.37: Carboplatin Exposure (Safety Population)</w:t>
      </w:r>
    </w:p>
    <w:p>
      <w:r>
        <w:rPr>
          <w:rFonts w:ascii="Arial" w:hAnsi="Arial"/>
          <w:color w:val="646464"/>
          <w:sz w:val="16"/>
        </w:rPr>
        <w:t>Source Dataset: ADEX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Number of subjects treated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Duration of Treatment (weeks)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Min, Max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Number of Doses/Cycles Received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Min, Max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Cumulative Dose ({unit})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Relative Dose Intensity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Min, Max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14.3.38: Treatment-Related TEAEs by SOC and PT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14.3.39: TEAEs Grade ≥3 by SOC and PT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14.3.40: Serious TEAEs by SOC and PT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14.3.41: TEAEs Leading to Discontinuation of Study Treatment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14.3.42: TEAEs Leading to Death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14.3.43: TEAEs Leading to Dose Modification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14.3.44: TEAEs with Incidence ≥5% in Any Treatment Group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14.3.45: TEAEs by SOC, PT, and Maximum Severity (Safety Population)</w:t>
      </w:r>
    </w:p>
    <w:p>
      <w:r>
        <w:rPr>
          <w:rFonts w:ascii="Arial" w:hAnsi="Arial"/>
          <w:color w:val="646464"/>
          <w:sz w:val="16"/>
        </w:rPr>
        <w:t>Source Dataset: ADSL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14.3.46: TEAEs Related to Study Drug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14.3.47: TEAEs Related to Study Drug Grade ≥3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14.3.48: Overview of TEAEs - Induction Study Period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Subjects with at least one: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TEAE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≥3 TEAE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4 TEAE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5 TEAE (Death)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Serious TEAE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Treatment-related TEAE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Treatment-related Serious TEAE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TEAE leading to study drug discontinuation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TEAE leading to dose modification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TEAE leading to dose interruption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Maximum CTCAE Grade: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1 (Mild)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2 (Moderate)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3 (Severe)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4 (Life-threatening)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5 (Death)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14.3.49: TEAEs by SOC and PT - Induction Study Period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14.3.50: Serious TEAEs - Induction Study Period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14.3.51: Concomitant Medications - Induction Study Period (Safety Population)</w:t>
      </w:r>
    </w:p>
    <w:p>
      <w:r>
        <w:rPr>
          <w:rFonts w:ascii="Arial" w:hAnsi="Arial"/>
          <w:color w:val="646464"/>
          <w:sz w:val="16"/>
        </w:rPr>
        <w:t>Source Dataset: ADCM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Subjects with at least one concomitant medication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ATC Class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Generic Drug Name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14.3.52: Study Drug Exposure - Induction Study Period (Safety Population)</w:t>
      </w:r>
    </w:p>
    <w:p>
      <w:r>
        <w:rPr>
          <w:rFonts w:ascii="Arial" w:hAnsi="Arial"/>
          <w:color w:val="646464"/>
          <w:sz w:val="16"/>
        </w:rPr>
        <w:t>Source Dataset: ADEX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Number of subjects treated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Duration of Treatment (weeks)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Min, Max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Number of Doses/Cycles Received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Min, Max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Cumulative Dose ({unit})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Relative Dose Intensity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Min, Max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14.3.53: Overview of TEAEs - Maintenance Study Period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Subjects with at least one: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TEAE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≥3 TEAE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4 TEAE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5 TEAE (Death)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Serious TEAE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Treatment-related TEAE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Treatment-related Serious TEAE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TEAE leading to study drug discontinuation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TEAE leading to dose modification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TEAE leading to dose interruption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Maximum CTCAE Grade: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1 (Mild)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2 (Moderate)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3 (Severe)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4 (Life-threatening)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5 (Death)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14.3.54: TEAEs by SOC and PT - Maintenance Study Period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14.3.55: Serious TEAEs - Maintenance Study Period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14.3.56: Concomitant Medications - Maintenance Study Period (Safety Population)</w:t>
      </w:r>
    </w:p>
    <w:p>
      <w:r>
        <w:rPr>
          <w:rFonts w:ascii="Arial" w:hAnsi="Arial"/>
          <w:color w:val="646464"/>
          <w:sz w:val="16"/>
        </w:rPr>
        <w:t>Source Dataset: ADCM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Subjects with at least one concomitant medication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ATC Class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Generic Drug Name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14.3.57: Study Drug Exposure - Maintenance Study Period (Safety Population)</w:t>
      </w:r>
    </w:p>
    <w:p>
      <w:r>
        <w:rPr>
          <w:rFonts w:ascii="Arial" w:hAnsi="Arial"/>
          <w:color w:val="646464"/>
          <w:sz w:val="16"/>
        </w:rPr>
        <w:t>Source Dataset: ADEX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CT-P16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EU-Approved Avastin with paclitaxel and carboplatin (N=xxx) n (%)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(N=xxx) n (%)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Number of subjects treated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Duration of Treatment (weeks)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Min, Max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Number of Doses/Cycles Received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Min, Max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Cumulative Dose ({unit})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Relative Dose Intensity (%)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Min, Max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8"/>
        </w:rPr>
        <w:t>FIGURE SHELLS</w:t>
      </w:r>
    </w:p>
    <w:p>
      <w:r>
        <w:br w:type="page"/>
      </w:r>
    </w:p>
    <w:p>
      <w:r>
        <w:rPr>
          <w:rFonts w:ascii="Arial" w:hAnsi="Arial"/>
          <w:b/>
          <w:sz w:val="22"/>
        </w:rPr>
        <w:t>Figure 1: Kaplan-Meier Plot of Response duration: the time between initial response (CR or PR) and PD/recurrence</w:t>
      </w:r>
    </w:p>
    <w:p>
      <w:r>
        <w:rPr>
          <w:rFonts w:ascii="Arial" w:hAnsi="Arial"/>
          <w:sz w:val="18"/>
        </w:rPr>
        <w:t>Type: Km Plot</w:t>
      </w:r>
    </w:p>
    <w:p>
      <w:r>
        <w:rPr>
          <w:rFonts w:ascii="Arial" w:hAnsi="Arial"/>
          <w:sz w:val="18"/>
        </w:rPr>
        <w:t>Endpoint: Response duration: the time between initial response (CR or PR) and PD/recurrence</w:t>
      </w:r>
    </w:p>
    <w:p/>
    <w:p>
      <w:pPr>
        <w:jc w:val="center"/>
      </w:pPr>
      <w:r>
        <w:rPr>
          <w:i/>
          <w:sz w:val="20"/>
        </w:rPr>
        <w:t>[Kaplan-Meier survival curve — to be generated by statistical programming]</w:t>
      </w:r>
    </w:p>
    <w:p/>
    <w:p>
      <w:r>
        <w:rPr>
          <w:rFonts w:ascii="Arial" w:hAnsi="Arial"/>
          <w:b/>
          <w:sz w:val="18"/>
        </w:rPr>
        <w:t>Number at Risk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Month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0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6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12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18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24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CT-P16 with paclitaxel and carboplatin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EU-Approved Avastin with paclitaxel and carboplatin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Figure 2: Kaplan-Meier Plot of TTP: the time from randomization until PD/recurrence</w:t>
      </w:r>
    </w:p>
    <w:p>
      <w:r>
        <w:rPr>
          <w:rFonts w:ascii="Arial" w:hAnsi="Arial"/>
          <w:sz w:val="18"/>
        </w:rPr>
        <w:t>Type: Km Plot</w:t>
      </w:r>
    </w:p>
    <w:p>
      <w:r>
        <w:rPr>
          <w:rFonts w:ascii="Arial" w:hAnsi="Arial"/>
          <w:sz w:val="18"/>
        </w:rPr>
        <w:t>Endpoint: TTP: the time from randomization until PD/recurrence</w:t>
      </w:r>
    </w:p>
    <w:p/>
    <w:p>
      <w:pPr>
        <w:jc w:val="center"/>
      </w:pPr>
      <w:r>
        <w:rPr>
          <w:i/>
          <w:sz w:val="20"/>
        </w:rPr>
        <w:t>[Kaplan-Meier survival curve — to be generated by statistical programming]</w:t>
      </w:r>
    </w:p>
    <w:p/>
    <w:p>
      <w:r>
        <w:rPr>
          <w:rFonts w:ascii="Arial" w:hAnsi="Arial"/>
          <w:b/>
          <w:sz w:val="18"/>
        </w:rPr>
        <w:t>Number at Risk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Month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0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6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12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18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24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CT-P16 with paclitaxel and carboplatin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EU-Approved Avastin with paclitaxel and carboplatin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Figure 3: Kaplan-Meier Plot of PFS: the time from randomization until PD/recurrence or death due to any cause, whichever occurs first</w:t>
      </w:r>
    </w:p>
    <w:p>
      <w:r>
        <w:rPr>
          <w:rFonts w:ascii="Arial" w:hAnsi="Arial"/>
          <w:sz w:val="18"/>
        </w:rPr>
        <w:t>Type: Km Plot</w:t>
      </w:r>
    </w:p>
    <w:p>
      <w:r>
        <w:rPr>
          <w:rFonts w:ascii="Arial" w:hAnsi="Arial"/>
          <w:sz w:val="18"/>
        </w:rPr>
        <w:t>Endpoint: PFS: the time from randomization until PD/recurrence or death due to any cause, whichever occurs first</w:t>
      </w:r>
    </w:p>
    <w:p/>
    <w:p>
      <w:pPr>
        <w:jc w:val="center"/>
      </w:pPr>
      <w:r>
        <w:rPr>
          <w:i/>
          <w:sz w:val="20"/>
        </w:rPr>
        <w:t>[Kaplan-Meier survival curve — to be generated by statistical programming]</w:t>
      </w:r>
    </w:p>
    <w:p/>
    <w:p>
      <w:r>
        <w:rPr>
          <w:rFonts w:ascii="Arial" w:hAnsi="Arial"/>
          <w:b/>
          <w:sz w:val="18"/>
        </w:rPr>
        <w:t>Number at Risk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Month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0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6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12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18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24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CT-P16 with paclitaxel and carboplatin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EU-Approved Avastin with paclitaxel and carboplatin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Figure 4: Kaplan-Meier Plot of OS: the time from randomization until death due to any cause</w:t>
      </w:r>
    </w:p>
    <w:p>
      <w:r>
        <w:rPr>
          <w:rFonts w:ascii="Arial" w:hAnsi="Arial"/>
          <w:sz w:val="18"/>
        </w:rPr>
        <w:t>Type: Km Plot</w:t>
      </w:r>
    </w:p>
    <w:p>
      <w:r>
        <w:rPr>
          <w:rFonts w:ascii="Arial" w:hAnsi="Arial"/>
          <w:sz w:val="18"/>
        </w:rPr>
        <w:t>Endpoint: OS: the time from randomization until death due to any cause</w:t>
      </w:r>
    </w:p>
    <w:p/>
    <w:p>
      <w:pPr>
        <w:jc w:val="center"/>
      </w:pPr>
      <w:r>
        <w:rPr>
          <w:i/>
          <w:sz w:val="20"/>
        </w:rPr>
        <w:t>[Kaplan-Meier survival curve — to be generated by statistical programming]</w:t>
      </w:r>
    </w:p>
    <w:p/>
    <w:p>
      <w:r>
        <w:rPr>
          <w:rFonts w:ascii="Arial" w:hAnsi="Arial"/>
          <w:b/>
          <w:sz w:val="18"/>
        </w:rPr>
        <w:t>Number at Risk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Month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0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6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12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18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24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CT-P16 with paclitaxel and carboplatin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EU-Approved Avastin with paclitaxel and carboplatin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Figure 5: Waterfall Plot of Best Percentage Change in Tumor Size</w:t>
      </w:r>
    </w:p>
    <w:p>
      <w:r>
        <w:rPr>
          <w:rFonts w:ascii="Arial" w:hAnsi="Arial"/>
          <w:sz w:val="18"/>
        </w:rPr>
        <w:t>Type: Waterfall Plot</w:t>
      </w:r>
    </w:p>
    <w:p>
      <w:r>
        <w:rPr>
          <w:rFonts w:ascii="Arial" w:hAnsi="Arial"/>
          <w:sz w:val="18"/>
        </w:rPr>
        <w:t>Endpoint: Objective response rate (ORR, %) based on BOR during the Induction Study Period by RECIST v.1.1</w:t>
      </w:r>
    </w:p>
    <w:p/>
    <w:p>
      <w:pPr>
        <w:jc w:val="center"/>
      </w:pPr>
      <w:r>
        <w:rPr>
          <w:i/>
          <w:sz w:val="20"/>
        </w:rPr>
        <w:t>[Waterfall plot of best percentage change from baseline — to be generated by statistical programming]</w:t>
      </w:r>
    </w:p>
    <w:p>
      <w:r>
        <w:br w:type="page"/>
      </w:r>
    </w:p>
    <w:p>
      <w:r>
        <w:rPr>
          <w:rFonts w:ascii="Arial" w:hAnsi="Arial"/>
          <w:b/>
          <w:sz w:val="22"/>
        </w:rPr>
        <w:t>Figure 6: Waterfall Plot of Best Percentage Change in Tumor Size</w:t>
      </w:r>
    </w:p>
    <w:p>
      <w:r>
        <w:rPr>
          <w:rFonts w:ascii="Arial" w:hAnsi="Arial"/>
          <w:sz w:val="18"/>
        </w:rPr>
        <w:t>Type: Waterfall Plot</w:t>
      </w:r>
    </w:p>
    <w:p>
      <w:r>
        <w:rPr>
          <w:rFonts w:ascii="Arial" w:hAnsi="Arial"/>
          <w:sz w:val="18"/>
        </w:rPr>
        <w:t>Endpoint: ORR based on BOR during the Whole Study Period by RECIST v.1.1</w:t>
      </w:r>
    </w:p>
    <w:p/>
    <w:p>
      <w:pPr>
        <w:jc w:val="center"/>
      </w:pPr>
      <w:r>
        <w:rPr>
          <w:i/>
          <w:sz w:val="20"/>
        </w:rPr>
        <w:t>[Waterfall plot of best percentage change from baseline — to be generated by statistical programming]</w:t>
      </w:r>
    </w:p>
    <w:p>
      <w:r>
        <w:br w:type="page"/>
      </w:r>
    </w:p>
    <w:p>
      <w:r>
        <w:rPr>
          <w:rFonts w:ascii="Arial" w:hAnsi="Arial"/>
          <w:b/>
          <w:sz w:val="22"/>
        </w:rPr>
        <w:t>Figure 7:  Score Over Time</w:t>
      </w:r>
    </w:p>
    <w:p>
      <w:r>
        <w:rPr>
          <w:rFonts w:ascii="Arial" w:hAnsi="Arial"/>
          <w:sz w:val="18"/>
        </w:rPr>
        <w:t>Type: Qol Line Plot</w:t>
      </w:r>
    </w:p>
    <w:p/>
    <w:p>
      <w:pPr>
        <w:jc w:val="center"/>
      </w:pPr>
      <w:r>
        <w:rPr>
          <w:i/>
          <w:sz w:val="20"/>
        </w:rPr>
        <w:t>[Figure placeholder — to be generated by statistical programming]</w:t>
      </w:r>
    </w:p>
    <w:p>
      <w:r>
        <w:br w:type="page"/>
      </w:r>
    </w:p>
    <w:p>
      <w:r>
        <w:rPr>
          <w:rFonts w:ascii="Arial" w:hAnsi="Arial"/>
          <w:b/>
          <w:sz w:val="22"/>
        </w:rPr>
        <w:t>Figure 8:  Score Over Time</w:t>
      </w:r>
    </w:p>
    <w:p>
      <w:r>
        <w:rPr>
          <w:rFonts w:ascii="Arial" w:hAnsi="Arial"/>
          <w:sz w:val="18"/>
        </w:rPr>
        <w:t>Type: Qol Line Plot</w:t>
      </w:r>
    </w:p>
    <w:p/>
    <w:p>
      <w:pPr>
        <w:jc w:val="center"/>
      </w:pPr>
      <w:r>
        <w:rPr>
          <w:i/>
          <w:sz w:val="20"/>
        </w:rPr>
        <w:t>[Figure placeholder — to be generated by statistical programming]</w:t>
      </w:r>
    </w:p>
    <w:p>
      <w:pPr>
        <w:sectPr>
          <w:headerReference w:type="default" r:id="rId9"/>
          <w:pgSz w:w="12240" w:h="15840"/>
          <w:pgMar w:top="1440" w:right="1440" w:bottom="1080" w:left="144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sz w:val="28"/>
        </w:rPr>
        <w:t>LISTING SHELLS</w:t>
      </w:r>
    </w:p>
    <w:p>
      <w:r>
        <w:rPr>
          <w:rFonts w:ascii="Arial" w:hAnsi="Arial"/>
          <w:b/>
          <w:sz w:val="22"/>
        </w:rPr>
        <w:t>Listing 16.2.1: Listing of Subject Disposition (ITT Population)</w:t>
      </w:r>
    </w:p>
    <w:p>
      <w:r>
        <w:rPr>
          <w:rFonts w:ascii="Arial" w:hAnsi="Arial"/>
          <w:color w:val="646464"/>
          <w:sz w:val="16"/>
        </w:rPr>
        <w:t>Population: ITT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 of Randomization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Reason for Discontinuation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 of Last Dose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 of Last Contact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16.2.2: Listing of Screening Failures (All Screened Population)</w:t>
      </w:r>
    </w:p>
    <w:p>
      <w:r>
        <w:rPr>
          <w:rFonts w:ascii="Arial" w:hAnsi="Arial"/>
          <w:color w:val="646464"/>
          <w:sz w:val="16"/>
        </w:rPr>
        <w:t>Population: All Screened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43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Screening Date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Reason for Screen Failure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16.2.3: Listing of Protocol Deviations (All Enrolled Population)</w:t>
      </w:r>
    </w:p>
    <w:p>
      <w:r>
        <w:rPr>
          <w:rFonts w:ascii="Arial" w:hAnsi="Arial"/>
          <w:color w:val="646464"/>
          <w:sz w:val="16"/>
        </w:rPr>
        <w:t>Population: All Enrolled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Major/Minor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16.2.4: Listing of Demographics (ITT Population)</w:t>
      </w:r>
    </w:p>
    <w:p>
      <w:r>
        <w:rPr>
          <w:rFonts w:ascii="Arial" w:hAnsi="Arial"/>
          <w:color w:val="646464"/>
          <w:sz w:val="16"/>
        </w:rPr>
        <w:t>Population: ITT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</w:tblGrid>
      <w:tr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Age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Sex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Race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Ethnicity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Weight (kg)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Height (cm)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BMI (kg/m²)</w:t>
            </w:r>
          </w:p>
        </w:tc>
      </w:tr>
      <w:tr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16.2.5: Listing of Medical History (ITT Population)</w:t>
      </w:r>
    </w:p>
    <w:p>
      <w:r>
        <w:rPr>
          <w:rFonts w:ascii="Arial" w:hAnsi="Arial"/>
          <w:color w:val="646464"/>
          <w:sz w:val="16"/>
        </w:rPr>
        <w:t>Population: ITT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SOC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PT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Ongoing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Start Date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16.2.6: Listing of Disease Characteristics (ITT Population)</w:t>
      </w:r>
    </w:p>
    <w:p>
      <w:r>
        <w:rPr>
          <w:rFonts w:ascii="Arial" w:hAnsi="Arial"/>
          <w:color w:val="646464"/>
          <w:sz w:val="16"/>
        </w:rPr>
        <w:t>Population: ITT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Diagnosis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Disease Stage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Histology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Prior Lines of Therapy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16.2.7: Listing of Prior Medications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</w:tblGrid>
      <w:tr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ATC Class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Drug Name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Start Date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Stop Date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Indication</w:t>
            </w:r>
          </w:p>
        </w:tc>
      </w:tr>
      <w:tr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16.2.8: Listing of Concomitant Medications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</w:tblGrid>
      <w:tr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ATC Class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Drug Name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Start Date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Stop Date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Indication</w:t>
            </w:r>
          </w:p>
        </w:tc>
      </w:tr>
      <w:tr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16.2.9: Listing of Study Drug Exposure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Cycle/Visit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Planned Dose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Actual Dose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 Administered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16.2.10: Listing of All Adverse Events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997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997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SOC</w:t>
            </w:r>
          </w:p>
        </w:tc>
        <w:tc>
          <w:tcPr>
            <w:tcW w:type="dxa" w:w="997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PT</w:t>
            </w:r>
          </w:p>
        </w:tc>
        <w:tc>
          <w:tcPr>
            <w:tcW w:type="dxa" w:w="997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Verbatim Term</w:t>
            </w:r>
          </w:p>
        </w:tc>
        <w:tc>
          <w:tcPr>
            <w:tcW w:type="dxa" w:w="997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Severity/Grade</w:t>
            </w:r>
          </w:p>
        </w:tc>
        <w:tc>
          <w:tcPr>
            <w:tcW w:type="dxa" w:w="997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Relationship</w:t>
            </w:r>
          </w:p>
        </w:tc>
        <w:tc>
          <w:tcPr>
            <w:tcW w:type="dxa" w:w="997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Serious</w:t>
            </w:r>
          </w:p>
        </w:tc>
        <w:tc>
          <w:tcPr>
            <w:tcW w:type="dxa" w:w="997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 Taken</w:t>
            </w:r>
          </w:p>
        </w:tc>
        <w:tc>
          <w:tcPr>
            <w:tcW w:type="dxa" w:w="997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997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Start Date</w:t>
            </w:r>
          </w:p>
        </w:tc>
        <w:tc>
          <w:tcPr>
            <w:tcW w:type="dxa" w:w="997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End Date</w:t>
            </w:r>
          </w:p>
        </w:tc>
        <w:tc>
          <w:tcPr>
            <w:tcW w:type="dxa" w:w="997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Duration (days)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997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997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997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997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997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997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997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997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997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997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997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997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16.2.11: Listing of Serious Adverse Events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10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Age</w:t>
            </w:r>
          </w:p>
        </w:tc>
        <w:tc>
          <w:tcPr>
            <w:tcW w:type="dxa" w:w="10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Sex</w:t>
            </w:r>
          </w:p>
        </w:tc>
        <w:tc>
          <w:tcPr>
            <w:tcW w:type="dxa" w:w="10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10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SOC</w:t>
            </w:r>
          </w:p>
        </w:tc>
        <w:tc>
          <w:tcPr>
            <w:tcW w:type="dxa" w:w="10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PT</w:t>
            </w:r>
          </w:p>
        </w:tc>
        <w:tc>
          <w:tcPr>
            <w:tcW w:type="dxa" w:w="10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Severity/Grade</w:t>
            </w:r>
          </w:p>
        </w:tc>
        <w:tc>
          <w:tcPr>
            <w:tcW w:type="dxa" w:w="10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Relationship</w:t>
            </w:r>
          </w:p>
        </w:tc>
        <w:tc>
          <w:tcPr>
            <w:tcW w:type="dxa" w:w="10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Seriousness Criteria</w:t>
            </w:r>
          </w:p>
        </w:tc>
        <w:tc>
          <w:tcPr>
            <w:tcW w:type="dxa" w:w="10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0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Start Date</w:t>
            </w:r>
          </w:p>
        </w:tc>
        <w:tc>
          <w:tcPr>
            <w:tcW w:type="dxa" w:w="10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End Date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16.2.12: Listing of TEAEs Leading to Discontinuation of Study Treatment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</w:tblGrid>
      <w:tr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SOC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PT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Severity/Grade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Relationship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 Taken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Start Date</w:t>
            </w:r>
          </w:p>
        </w:tc>
      </w:tr>
      <w:tr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16.2.13: Listing of TEAEs Leading to Death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SOC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PT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Relationship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 of Death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Cause of Death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16.2.14: Listing of Deaths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</w:tblGrid>
      <w:tr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Age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Sex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 of Death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Primary Cause of Death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Relationship to Study Drug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Days on Study</w:t>
            </w:r>
          </w:p>
        </w:tc>
      </w:tr>
      <w:tr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16.2.15: Listing of Adverse Events of Special Interest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AESI Category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PT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Severity/Grade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Relationship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Serious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Start Date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End Date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16.2.16: Listing of Efficacy Data (ITT Population)</w:t>
      </w:r>
    </w:p>
    <w:p>
      <w:r>
        <w:rPr>
          <w:rFonts w:ascii="Arial" w:hAnsi="Arial"/>
          <w:color w:val="646464"/>
          <w:sz w:val="16"/>
        </w:rPr>
        <w:t>Population: ITT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Visit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Assessment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Response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 of Assessment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16.2.17: Listing of Hematology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Visit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Baseline Value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from Baseline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 Range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Flag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CTCAE Grade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16.2.18: Listing of Clinical Chemistry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Visit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Baseline Value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from Baseline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 Range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Flag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CTCAE Grade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16.2.19: Listing of Urinalysis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Visit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Flag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16.2.20: Listing of Subjects with Markedly Abnormal Laboratory Values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Visit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Criterion Met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16.2.21: Listing of Vital Signs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Visit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Baseline Value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from Baseline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16.2.22: Listing of Electrocardiogram Parameters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14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14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Visit</w:t>
            </w:r>
          </w:p>
        </w:tc>
        <w:tc>
          <w:tcPr>
            <w:tcW w:type="dxa" w:w="14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HR</w:t>
            </w:r>
          </w:p>
        </w:tc>
        <w:tc>
          <w:tcPr>
            <w:tcW w:type="dxa" w:w="14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</w:t>
            </w:r>
          </w:p>
        </w:tc>
        <w:tc>
          <w:tcPr>
            <w:tcW w:type="dxa" w:w="14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QRS</w:t>
            </w:r>
          </w:p>
        </w:tc>
        <w:tc>
          <w:tcPr>
            <w:tcW w:type="dxa" w:w="14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QT</w:t>
            </w:r>
          </w:p>
        </w:tc>
        <w:tc>
          <w:tcPr>
            <w:tcW w:type="dxa" w:w="14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QTcF</w:t>
            </w:r>
          </w:p>
        </w:tc>
        <w:tc>
          <w:tcPr>
            <w:tcW w:type="dxa" w:w="14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Interpretation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16.2.23: Listing of PK Concentrations (PK Population)</w:t>
      </w:r>
    </w:p>
    <w:p>
      <w:r>
        <w:rPr>
          <w:rFonts w:ascii="Arial" w:hAnsi="Arial"/>
          <w:color w:val="646464"/>
          <w:sz w:val="16"/>
        </w:rPr>
        <w:t>Population: PK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Visit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Nominal Time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Actual Time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Concentration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BLQ Flag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16.2.24: Listing of PK Parameters (PK Population)</w:t>
      </w:r>
    </w:p>
    <w:p>
      <w:r>
        <w:rPr>
          <w:rFonts w:ascii="Arial" w:hAnsi="Arial"/>
          <w:color w:val="646464"/>
          <w:sz w:val="16"/>
        </w:rPr>
        <w:t>Population: PK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Unit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16.2.25: Listing of Immunogenicity - Anti-Drug Antibody Results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Visit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ADA Status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Titer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NAb 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16.2.26: Listing of EORTC QLQ-C30 Responses (ITT Population)</w:t>
      </w:r>
    </w:p>
    <w:p>
      <w:r>
        <w:rPr>
          <w:rFonts w:ascii="Arial" w:hAnsi="Arial"/>
          <w:color w:val="646464"/>
          <w:sz w:val="16"/>
        </w:rPr>
        <w:t>Population: ITT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Visit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Domain/Scale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from Baseline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16.2.27: Listing of EORTC QLQ-LC13 Responses (ITT Population)</w:t>
      </w:r>
    </w:p>
    <w:p>
      <w:r>
        <w:rPr>
          <w:rFonts w:ascii="Arial" w:hAnsi="Arial"/>
          <w:color w:val="646464"/>
          <w:sz w:val="16"/>
        </w:rPr>
        <w:t>Population: ITT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Visit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Domain/Scale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from Baseline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16.2.28: Listing of Physical Examination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Visit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Body System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Clinical Significance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16.2.29: Listing of Pregnancy Test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Visit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16.2.30: Listing of Viral Serology (ITT Population)</w:t>
      </w:r>
    </w:p>
    <w:p>
      <w:r>
        <w:rPr>
          <w:rFonts w:ascii="Arial" w:hAnsi="Arial"/>
          <w:color w:val="646464"/>
          <w:sz w:val="16"/>
        </w:rPr>
        <w:t>Population: ITT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Visit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16.2.31: Listing of Paclitaxel Exposure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Cycle/Visit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Planned Dose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Actual Dose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 Administered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16.2.32: Listing of Carboplatin Exposure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Cycle/Visit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Planned Dose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Actual Dose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 Administered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pPr>
        <w:sectPr>
          <w:type w:val="nextPage"/>
          <w:pgSz w:w="15840" w:h="12240" w:orient="landscape"/>
          <w:pgMar w:top="1080" w:right="1440" w:bottom="1080" w:left="144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sz w:val="28"/>
        </w:rPr>
        <w:t>TLF Shell Summary</w:t>
      </w:r>
    </w:p>
    <w:p/>
    <w:p>
      <w:r>
        <w:rPr>
          <w:rFonts w:ascii="Arial" w:hAnsi="Arial"/>
          <w:b/>
        </w:rPr>
        <w:t xml:space="preserve">Therapeutic Area: </w:t>
      </w:r>
      <w:r>
        <w:rPr>
          <w:rFonts w:ascii="Arial" w:hAnsi="Arial"/>
        </w:rPr>
        <w:t>oncology</w:t>
      </w:r>
    </w:p>
    <w:p>
      <w:r>
        <w:rPr>
          <w:rFonts w:ascii="Arial" w:hAnsi="Arial"/>
          <w:b/>
        </w:rPr>
        <w:t xml:space="preserve">Treatment Arms: </w:t>
      </w:r>
      <w:r>
        <w:rPr>
          <w:rFonts w:ascii="Arial" w:hAnsi="Arial"/>
        </w:rPr>
        <w:t>CT-P16 with paclitaxel and carboplatin, EU-Approved Avastin with paclitaxel and carboplatin</w:t>
      </w:r>
    </w:p>
    <w:p>
      <w:r>
        <w:rPr>
          <w:rFonts w:ascii="Arial" w:hAnsi="Arial"/>
          <w:b/>
        </w:rPr>
        <w:t xml:space="preserve">Analysis Populations: </w:t>
      </w:r>
      <w:r>
        <w:rPr>
          <w:rFonts w:ascii="Arial" w:hAnsi="Arial"/>
        </w:rPr>
        <w:t>ITT, PP, PK, Safety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Disposition &amp; Demographics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Efficacy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21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PK &amp; Immunogenicity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Safety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57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Figures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Listings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32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Total TLFs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127</w:t>
            </w:r>
          </w:p>
        </w:tc>
      </w:tr>
    </w:tbl>
    <w:sectPr w:rsidR="00FC693F" w:rsidRPr="0006063C" w:rsidSect="00034616">
      <w:type w:val="nextPage"/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PROTOCOL  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