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PDPA Compliance Essentials (Hawksford)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https://www.hawksford.com/insights-and-guides/pdpa-compliance-in-singapore</w:t>
      </w:r>
    </w:p>
    <w:p>
      <w:pPr>
        <w:spacing w:after="160"/>
      </w:pPr>
      <w:r>
        <w:t xml:space="preserve">Client-facing summary points drawn from Hawksford's PDPA compliance guide.</w:t>
      </w:r>
    </w:p>
    <w:p>
      <w:pPr>
        <w:pStyle w:val="Heading2"/>
        <w:spacing w:before="200"/>
      </w:pPr>
      <w:r>
        <w:t xml:space="preserve">Excerpt (Section 2, Section 4)</w:t>
      </w:r>
    </w:p>
    <w:p>
      <w:pPr>
        <w:spacing w:after="160"/>
        <w:ind w:left="480"/>
      </w:pPr>
      <w:r>
        <w:rPr>
          <w:i/>
          <w:iCs/>
        </w:rPr>
        <w:t xml:space="preserve">"The PDPA can apply to organisations even with no physical presence in Singapore," provided they deal with personal data relating to Singapore residents.</w:t>
      </w:r>
    </w:p>
    <w:p>
      <w:pPr>
        <w:spacing w:after="160"/>
        <w:ind w:left="480"/>
      </w:pPr>
      <w:r>
        <w:rPr>
          <w:i/>
          <w:iCs/>
        </w:rPr>
        <w:t xml:space="preserve">"If you maintain a personal contacts list or collect data for your own family or household use, you're typically not subject to PDPA obligations."</w:t>
      </w:r>
    </w:p>
    <w:p>
      <w:pPr>
        <w:spacing w:after="160"/>
        <w:ind w:left="480"/>
      </w:pPr>
      <w:r>
        <w:rPr>
          <w:i/>
          <w:iCs/>
        </w:rPr>
        <w:t xml:space="preserve">Business contact information exclusion covers "name, position or title, business telephone number, business address, and business email."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Note this source does not address the deceased-individual exemption -- do not rely on it alone for that question; see note_02 (DLA Piper) instead.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2026-09-06T02:24:50.940Z</dcterms:created>
  <dcterms:modified xsi:type="dcterms:W3CDTF">2026-09-06T02:24:50.940Z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