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Reference Note -- PDPA Compliance Scope (VistaInfosec)</w:t>
      </w:r>
    </w:p>
    <w:p>
      <w:pPr>
        <w:spacing w:after="200"/>
      </w:pPr>
      <w:r>
        <w:rPr>
          <w:color w:val="666666"/>
          <w:sz w:val="18"/>
          <w:szCs w:val="18"/>
        </w:rPr>
        <w:t xml:space="preserve">Source: https://vistainfosec.com/blog/pdpa-compliance/</w:t>
      </w:r>
    </w:p>
    <w:p>
      <w:pPr>
        <w:spacing w:after="160"/>
      </w:pPr>
      <w:r>
        <w:t xml:space="preserve">Security-vendor summary of PDPA applicability, kept for IT-vendor onboarding matters.</w:t>
      </w:r>
    </w:p>
    <w:p>
      <w:pPr>
        <w:pStyle w:val="Heading2"/>
        <w:spacing w:before="200"/>
      </w:pPr>
      <w:r>
        <w:t xml:space="preserve">Excerpt (Section 2, Section 4)</w:t>
      </w:r>
    </w:p>
    <w:p>
      <w:pPr>
        <w:spacing w:after="160"/>
        <w:ind w:left="480"/>
      </w:pPr>
      <w:r>
        <w:rPr>
          <w:i/>
          <w:iCs/>
        </w:rPr>
        <w:t xml:space="preserve">"The PDPA Compliance applies to any organization that processes and deals with any kind of Personal Data in Singapore."</w:t>
      </w:r>
    </w:p>
    <w:p>
      <w:pPr>
        <w:spacing w:after="160"/>
        <w:ind w:left="480"/>
      </w:pPr>
      <w:r>
        <w:rPr>
          <w:i/>
          <w:iCs/>
        </w:rPr>
        <w:t xml:space="preserve">"PDPA obligations do not apply to government agencies or public agencies," including organisations acting on their behalf.</w:t>
      </w:r>
    </w:p>
    <w:p>
      <w:pPr>
        <w:spacing w:after="160"/>
        <w:ind w:left="480"/>
      </w:pPr>
      <w:r>
        <w:rPr>
          <w:i/>
          <w:iCs/>
        </w:rPr>
        <w:t xml:space="preserve">Protected information is "any information that results in the identification of an individual."</w:t>
      </w:r>
    </w:p>
    <w:p>
      <w:pPr>
        <w:pStyle w:val="Heading2"/>
        <w:spacing w:before="200"/>
      </w:pPr>
      <w:r>
        <w:t xml:space="preserve">Internal note</w:t>
      </w:r>
    </w:p>
    <w:p>
      <w:pPr>
        <w:spacing w:after="160"/>
      </w:pPr>
      <w:r>
        <w:t xml:space="preserve">This source doesn't give formal section numbers for these points -- treat it as a plain-English cross-check, not a citation source, when drafting advice.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2026-09-06T02:24:50.941Z</dcterms:created>
  <dcterms:modified xsi:type="dcterms:W3CDTF">2026-09-06T02:24:50.941Z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