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PDPA Purpose and Exemptions (Privacy Bee)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https://business.privacybee.com/resource-center/guide-to-singapores-personal-data-protection-act-pdpa/</w:t>
      </w:r>
    </w:p>
    <w:p>
      <w:pPr>
        <w:spacing w:after="160"/>
      </w:pPr>
      <w:r>
        <w:t xml:space="preserve">Note on the Act's stated purpose, for the client-facing FAQ page.</w:t>
      </w:r>
    </w:p>
    <w:p>
      <w:pPr>
        <w:pStyle w:val="Heading2"/>
        <w:spacing w:before="200"/>
      </w:pPr>
      <w:r>
        <w:t xml:space="preserve">Excerpt (Section 3, Section 4)</w:t>
      </w:r>
    </w:p>
    <w:p>
      <w:pPr>
        <w:spacing w:after="160"/>
        <w:ind w:left="480"/>
      </w:pPr>
      <w:r>
        <w:rPr>
          <w:i/>
          <w:iCs/>
        </w:rPr>
        <w:t xml:space="preserve">The legislation aims to "balance the imperative to protect individuals' personal data with the legitimate needs of organizations to collect, use, and disclose such data."</w:t>
      </w:r>
    </w:p>
    <w:p>
      <w:pPr>
        <w:spacing w:after="160"/>
        <w:ind w:left="480"/>
      </w:pPr>
      <w:r>
        <w:rPr>
          <w:i/>
          <w:iCs/>
        </w:rPr>
        <w:t xml:space="preserve">Exemptions apply to "any individual acting on a personal or domestic basis," employees acting in that capacity, public agencies, and business contact information.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Reuse the "balance" framing when explaining to clients why PDPA isn't an absolute bar on data use -- it's a reasonableness standard, not a prohibition.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2026-09-06T02:24:50.941Z</dcterms:created>
  <dcterms:modified xsi:type="dcterms:W3CDTF">2026-09-06T02:24:50.941Z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