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PDPA Overview (DPO Consulting)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https://www.dpo-consulting.com/blog/personal-data-protection-act-singapore-guide</w:t>
      </w:r>
    </w:p>
    <w:p>
      <w:pPr>
        <w:spacing w:after="160"/>
      </w:pPr>
      <w:r>
        <w:t xml:space="preserve">General overview note, used as the intro slide content for client PDPA briefings.</w:t>
      </w:r>
    </w:p>
    <w:p>
      <w:pPr>
        <w:pStyle w:val="Heading2"/>
        <w:spacing w:before="200"/>
      </w:pPr>
      <w:r>
        <w:t xml:space="preserve">Excerpt (Section 2, Section 3, Section 4)</w:t>
      </w:r>
    </w:p>
    <w:p>
      <w:pPr>
        <w:spacing w:after="160"/>
        <w:ind w:left="480"/>
      </w:pPr>
      <w:r>
        <w:rPr>
          <w:i/>
          <w:iCs/>
        </w:rPr>
        <w:t xml:space="preserve">"The PDPA Singapore covers most private sector organizations in Singapore, regardless of size or industry."</w:t>
      </w:r>
    </w:p>
    <w:p>
      <w:pPr>
        <w:spacing w:after="160"/>
        <w:ind w:left="480"/>
      </w:pPr>
      <w:r>
        <w:rPr>
          <w:i/>
          <w:iCs/>
        </w:rPr>
        <w:t xml:space="preserve">Exemptions: "personal or household use," "employees handling data in employment duties," and "public agencies, which follow separate privacy laws."</w:t>
      </w:r>
    </w:p>
    <w:p>
      <w:pPr>
        <w:spacing w:after="160"/>
        <w:ind w:left="480"/>
      </w:pPr>
      <w:r>
        <w:rPr>
          <w:i/>
          <w:iCs/>
        </w:rPr>
        <w:t xml:space="preserve">The PDPA establishes "a baseline standard of protection for personal data in Singapore" while balancing privacy with legitimate business operations.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"Baseline standard" is a useful phrase for clients who ask whether PDPA compliance alone is enough for an international deal -- it usually isn't, if GDPR or CCPA also apply.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2026-09-06T02:24:50.942Z</dcterms:created>
  <dcterms:modified xsi:type="dcterms:W3CDTF">2026-09-06T02:24:50.942Z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