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Reference Note -- Data Intermediary Obligations (Privacy.com.sg)</w:t>
      </w:r>
    </w:p>
    <w:p>
      <w:pPr>
        <w:spacing w:after="200"/>
      </w:pPr>
      <w:r>
        <w:rPr>
          <w:color w:val="666666"/>
          <w:sz w:val="18"/>
          <w:szCs w:val="18"/>
        </w:rPr>
        <w:t xml:space="preserve">Source: https://www.privacy.com.sg/resources/understanding-the-data-intermediary/</w:t>
      </w:r>
    </w:p>
    <w:p>
      <w:pPr>
        <w:spacing w:after="160"/>
      </w:pPr>
      <w:r>
        <w:t xml:space="preserve">Detailed note on data-intermediary obligations, for the vendor-contracts workstream.</w:t>
      </w:r>
    </w:p>
    <w:p>
      <w:pPr>
        <w:pStyle w:val="Heading2"/>
        <w:spacing w:before="200"/>
      </w:pPr>
      <w:r>
        <w:t xml:space="preserve">Excerpt (Section 2, Section 4(2))</w:t>
      </w:r>
    </w:p>
    <w:p>
      <w:pPr>
        <w:spacing w:after="160"/>
        <w:ind w:left="480"/>
      </w:pPr>
      <w:r>
        <w:rPr>
          <w:i/>
          <w:iCs/>
        </w:rPr>
        <w:t xml:space="preserve">"An organization that engages a data intermediary to process personal data on its behalf will have to ensure that such processing is in compliance with the PDPA."</w:t>
      </w:r>
    </w:p>
    <w:p>
      <w:pPr>
        <w:spacing w:after="160"/>
        <w:ind w:left="480"/>
      </w:pPr>
      <w:r>
        <w:rPr>
          <w:i/>
          <w:iCs/>
        </w:rPr>
        <w:t xml:space="preserve">Data intermediaries must implement "reasonable security arrangements" and must "cease retention of documents containing personal data...as soon as the retention no longer serves the purpose."</w:t>
      </w:r>
    </w:p>
    <w:p>
      <w:pPr>
        <w:spacing w:after="160"/>
        <w:ind w:left="480"/>
      </w:pPr>
      <w:r>
        <w:rPr>
          <w:i/>
          <w:iCs/>
        </w:rPr>
        <w:t xml:space="preserve">"Organisations are ultimately accountable for personal data that is being processed on their behalf by their data intermediary."</w:t>
      </w:r>
    </w:p>
    <w:p>
      <w:pPr>
        <w:spacing w:after="160"/>
        <w:ind w:left="480"/>
      </w:pPr>
      <w:r>
        <w:rPr>
          <w:i/>
          <w:iCs/>
        </w:rPr>
        <w:t xml:space="preserve">A data intermediary becomes fully responsible when acting outside a formal written contract.</w:t>
      </w:r>
    </w:p>
    <w:p>
      <w:pPr>
        <w:pStyle w:val="Heading2"/>
        <w:spacing w:before="200"/>
      </w:pPr>
      <w:r>
        <w:t xml:space="preserve">Internal note</w:t>
      </w:r>
    </w:p>
    <w:p>
      <w:pPr>
        <w:spacing w:after="160"/>
      </w:pPr>
      <w:r>
        <w:t xml:space="preserve">The "acting outside a written contract" trigger is the key drafting risk -- make sure every vendor SOW is actually signed before data starts flowing, not just under negotiation.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2026-09-06T02:24:50.943Z</dcterms:created>
  <dcterms:modified xsi:type="dcterms:W3CDTF">2026-09-06T02:24:50.943Z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