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Intermediary Services Agreement — Drafting Notes</w:t>
      </w:r>
    </w:p>
    <w:p>
      <w:pPr>
        <w:spacing w:after="160"/>
      </w:pPr>
      <w:r>
        <w:t xml:space="preserve">Notes for drafting services agreements where a vendor will process personal data on our behalf as a data intermediary under the PDPA.</w:t>
      </w:r>
    </w:p>
    <w:p>
      <w:pPr>
        <w:pStyle w:val="Heading2"/>
        <w:spacing w:before="200"/>
      </w:pPr>
      <w:r>
        <w:t xml:space="preserve">Relevant PDPA provisions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"'data intermediary' means an organisation which processes personal data on behalf of another organisation but does not include an employee of that other organisation."</w:t>
      </w:r>
    </w:p>
    <w:p>
      <w:pPr>
        <w:spacing w:after="160"/>
        <w:ind w:left="480"/>
      </w:pPr>
      <w:r>
        <w:rPr>
          <w:i/>
          <w:iCs/>
        </w:rPr>
        <w:t xml:space="preserve">Section 4(2): "Parts III to VI (except for section 24 (protection of personal data) and section 25 (retention of personal data)) shall not impose any obligation on a data intermediary in respect of its processing of personal data on behalf of and for the purposes of another organisation pursuant to a contract which is evidenced or made in writing."</w:t>
      </w:r>
    </w:p>
    <w:p>
      <w:pPr>
        <w:spacing w:after="160"/>
        <w:ind w:left="480"/>
      </w:pPr>
      <w:r>
        <w:rPr>
          <w:i/>
          <w:iCs/>
        </w:rPr>
        <w:t xml:space="preserve">Section 4(3): "An organisation shall have the same obligation under this Act in respect of personal data processed on its behalf and for its purposes by a data intermediary as if the personal data were processed by the organisation itself."</w:t>
      </w:r>
    </w:p>
    <w:p>
      <w:pPr>
        <w:pStyle w:val="Heading2"/>
        <w:spacing w:before="200"/>
      </w:pPr>
      <w:r>
        <w:t xml:space="preserve">Drafting checklist</w:t>
      </w:r>
    </w:p>
    <w:p>
      <w:pPr>
        <w:spacing w:after="160"/>
      </w:pPr>
      <w:r>
        <w:t xml:space="preserve">Confirm the vendor meets the Section 2 definition of 'data intermediary' — processing personal data on our behalf, not on its own account — before relying on the Section 4(2) carve-out.</w:t>
      </w:r>
    </w:p>
    <w:p>
      <w:pPr>
        <w:spacing w:after="160"/>
      </w:pPr>
      <w:r>
        <w:t xml:space="preserve">The contract must be in writing (or evidenced in writing) for the Section 4(2) exemption to apply; a purely verbal arrangement does not qualify.</w:t>
      </w:r>
    </w:p>
    <w:p>
      <w:pPr>
        <w:spacing w:after="160"/>
      </w:pPr>
      <w:r>
        <w:t xml:space="preserve">Remember Section 4(3): the exemption reduces the vendor's direct obligations, not ours — we remain responsible for the vendor's processing as if we did it ourselves.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2026-09-05T19:21:00.155Z</dcterms:created>
  <dcterms:modified xsi:type="dcterms:W3CDTF">2026-09-05T19:21:00.155Z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