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PDPA Compliance Overview Memo</w:t>
      </w:r>
    </w:p>
    <w:p>
      <w:pPr>
        <w:spacing w:after="160"/>
      </w:pPr>
      <w:r>
        <w:t xml:space="preserve">This memo summarises the firm's baseline obligations under the Personal Data Protection Act 2012 (PDPA) and the scope carve-outs that determine which of our activities fall outside it.</w:t>
      </w:r>
    </w:p>
    <w:p>
      <w:pPr>
        <w:pStyle w:val="Heading2"/>
        <w:spacing w:before="200"/>
      </w:pPr>
      <w:r>
        <w:t xml:space="preserve">Relevant PDPA provisions</w:t>
      </w:r>
    </w:p>
    <w:p>
      <w:pPr>
        <w:spacing w:after="160"/>
        <w:ind w:left="480"/>
      </w:pPr>
      <w:r>
        <w:rPr>
          <w:i/>
          <w:iCs/>
        </w:rPr>
        <w:t xml:space="preserve">Section 3 (Purpose): "The purpose of this Act is to govern the collection, use and disclosure of personal data by organisations in a manner that recognises both the right of individuals to protect their personal data and the need of organisations to collect, use or disclose personal data for purposes that a reasonable person would consider appropriate in the circumstances."</w:t>
      </w:r>
    </w:p>
    <w:p>
      <w:pPr>
        <w:spacing w:after="160"/>
        <w:ind w:left="480"/>
      </w:pPr>
      <w:r>
        <w:rPr>
          <w:i/>
          <w:iCs/>
        </w:rPr>
        <w:t xml:space="preserve">Section 4 (Application of Act): "Parts III to VI shall not impose any obligation on — (a) any individual acting in a personal or domestic capacity; (b) any employee acting in the course of his employment with an organisation; (c) any public agency or an organisation in the course of acting on behalf of a public agency in relation to the collection, use or disclosure of the personal data; or (d) any other organisations or personal data, or classes of organisations or personal data, prescribed for the purposes of this provision."</w:t>
      </w:r>
    </w:p>
    <w:p>
      <w:pPr>
        <w:pStyle w:val="Heading2"/>
        <w:spacing w:before="200"/>
      </w:pPr>
      <w:r>
        <w:t xml:space="preserve">Internal guidance</w:t>
      </w:r>
    </w:p>
    <w:p>
      <w:pPr>
        <w:spacing w:after="160"/>
      </w:pPr>
      <w:r>
        <w:t xml:space="preserve">Client-facing teams should treat any processing carried out by an employee strictly within the scope of their employment as outside Part III to VI obligations, per Section 4(1)(b). This does not extend to activity outside an employee's job scope, or to contractors engaged other than as employees.</w:t>
      </w:r>
    </w:p>
    <w:p>
      <w:pPr>
        <w:spacing w:after="160"/>
      </w:pPr>
      <w:r>
        <w:t xml:space="preserve">Where a matter involves a public agency acting on our behalf, confirm the specific carve-out under Section 4(1)(c) before assuming PDPA obligations are relaxed — the exemption is scoped to the public agency relationship, not to the underlying personal data generally.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2026-09-05T19:21:00.153Z</dcterms:created>
  <dcterms:modified xsi:type="dcterms:W3CDTF">2026-09-05T19:21:00.154Z</dcterms:modified>
</cp:coreProperties>
</file>

<file path=docProps/custom.xml><?xml version="1.0" encoding="utf-8"?>
<Properties xmlns="http://schemas.openxmlformats.org/officeDocument/2006/custom-properties" xmlns:vt="http://schemas.openxmlformats.org/officeDocument/2006/docPropsVTypes"/>
</file>