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Scope (Wikipedia)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https://en.wikipedia.org/wiki/Personal_Data_Protection_Act_2012</w:t>
      </w:r>
    </w:p>
    <w:p>
      <w:pPr>
        <w:spacing w:after="160"/>
      </w:pPr>
      <w:r>
        <w:t xml:space="preserve">Background note on the Personal Data Protection Act 2012's scope, for onboarding new associates.</w:t>
      </w:r>
    </w:p>
    <w:p>
      <w:pPr>
        <w:pStyle w:val="Heading2"/>
        <w:spacing w:before="200"/>
      </w:pPr>
      <w:r>
        <w:t xml:space="preserve">Excerpt (Section 4)</w:t>
      </w:r>
    </w:p>
    <w:p>
      <w:pPr>
        <w:spacing w:after="160"/>
        <w:ind w:left="480"/>
      </w:pPr>
      <w:r>
        <w:rPr>
          <w:i/>
          <w:iCs/>
        </w:rPr>
        <w:t xml:space="preserve">The PDPA "regulates the processing of personal data in the private sector," and public agencies are "not governed by PDPA because of fundamental differences in how they operate."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Use this as a plain-English starting point only -- confirm the exact Section 4 carve-out wording against the Act itself before advising a client on a borderline public-agency question.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2026-09-06T02:24:50.934Z</dcterms:created>
  <dcterms:modified xsi:type="dcterms:W3CDTF">2026-09-06T02:24:50.937Z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